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A6" w:rsidRPr="003A02B9" w:rsidRDefault="00794CA6" w:rsidP="00794CA6">
      <w:pPr>
        <w:spacing w:after="0" w:line="276" w:lineRule="auto"/>
        <w:jc w:val="center"/>
        <w:rPr>
          <w:b/>
          <w:sz w:val="24"/>
        </w:rPr>
      </w:pPr>
      <w:bookmarkStart w:id="0" w:name="_GoBack"/>
      <w:bookmarkEnd w:id="0"/>
      <w:r w:rsidRPr="003A02B9">
        <w:rPr>
          <w:b/>
          <w:sz w:val="24"/>
        </w:rPr>
        <w:t>Universidade de Brasília – 2/2017</w:t>
      </w:r>
    </w:p>
    <w:p w:rsidR="00794CA6" w:rsidRPr="003A02B9" w:rsidRDefault="00794CA6" w:rsidP="00794CA6">
      <w:pPr>
        <w:spacing w:after="0" w:line="276" w:lineRule="auto"/>
        <w:jc w:val="center"/>
        <w:rPr>
          <w:b/>
          <w:sz w:val="24"/>
        </w:rPr>
      </w:pPr>
      <w:r w:rsidRPr="003A02B9">
        <w:rPr>
          <w:b/>
          <w:sz w:val="24"/>
        </w:rPr>
        <w:t>Teoria Geral do Processo 2 - Seminário</w:t>
      </w:r>
    </w:p>
    <w:p w:rsidR="00794CA6" w:rsidRPr="003A02B9" w:rsidRDefault="00794CA6" w:rsidP="00794CA6">
      <w:pPr>
        <w:spacing w:after="0" w:line="276" w:lineRule="auto"/>
        <w:jc w:val="center"/>
        <w:rPr>
          <w:b/>
          <w:sz w:val="24"/>
        </w:rPr>
      </w:pPr>
      <w:r w:rsidRPr="003A02B9">
        <w:rPr>
          <w:b/>
          <w:sz w:val="24"/>
        </w:rPr>
        <w:t>Prof. Vallisney de Oliveira</w:t>
      </w:r>
    </w:p>
    <w:p w:rsidR="00794CA6" w:rsidRPr="003A02B9" w:rsidRDefault="00794CA6" w:rsidP="00794CA6">
      <w:pPr>
        <w:spacing w:after="0" w:line="276" w:lineRule="auto"/>
        <w:jc w:val="center"/>
        <w:rPr>
          <w:b/>
          <w:sz w:val="24"/>
        </w:rPr>
      </w:pPr>
      <w:r w:rsidRPr="003A02B9">
        <w:rPr>
          <w:b/>
          <w:sz w:val="24"/>
        </w:rPr>
        <w:t>Isabella Tanuy (16/</w:t>
      </w:r>
      <w:r w:rsidR="00783314">
        <w:rPr>
          <w:b/>
          <w:sz w:val="24"/>
        </w:rPr>
        <w:t>0008824</w:t>
      </w:r>
      <w:r w:rsidRPr="003A02B9">
        <w:rPr>
          <w:b/>
          <w:sz w:val="24"/>
        </w:rPr>
        <w:t>) e Giovanna Milanez (16/0046475)</w:t>
      </w:r>
    </w:p>
    <w:p w:rsidR="00794CA6" w:rsidRDefault="00794CA6" w:rsidP="00546F6C">
      <w:pPr>
        <w:spacing w:line="276" w:lineRule="auto"/>
        <w:jc w:val="both"/>
        <w:rPr>
          <w:b/>
        </w:rPr>
      </w:pPr>
    </w:p>
    <w:p w:rsidR="00501B18" w:rsidRPr="00794CA6" w:rsidRDefault="00501B18" w:rsidP="00546F6C">
      <w:pPr>
        <w:pStyle w:val="PargrafodaLista"/>
        <w:numPr>
          <w:ilvl w:val="0"/>
          <w:numId w:val="3"/>
        </w:numPr>
        <w:spacing w:line="276" w:lineRule="auto"/>
        <w:ind w:hanging="294"/>
        <w:jc w:val="both"/>
        <w:rPr>
          <w:b/>
        </w:rPr>
      </w:pPr>
      <w:r w:rsidRPr="00794CA6">
        <w:rPr>
          <w:b/>
        </w:rPr>
        <w:t xml:space="preserve">Advogado </w:t>
      </w:r>
    </w:p>
    <w:p w:rsidR="00DB5538" w:rsidRDefault="00DB5538" w:rsidP="00546F6C">
      <w:pPr>
        <w:spacing w:line="276" w:lineRule="auto"/>
        <w:ind w:firstLine="567"/>
        <w:jc w:val="both"/>
        <w:rPr>
          <w:color w:val="000000"/>
        </w:rPr>
      </w:pPr>
      <w:r>
        <w:t xml:space="preserve">A advocacia constitui </w:t>
      </w:r>
      <w:r w:rsidR="002328F2">
        <w:rPr>
          <w:rFonts w:ascii="Calibri" w:hAnsi="Calibri" w:cs="Calibri"/>
        </w:rPr>
        <w:t>função essencial ao próprio funcionamento do aparato da jurisdição</w:t>
      </w:r>
      <w:r w:rsidRPr="00DB5538">
        <w:rPr>
          <w:rFonts w:ascii="Calibri" w:hAnsi="Calibri" w:cs="Calibri"/>
        </w:rPr>
        <w:t xml:space="preserve">, sendo o advogado considerado inviolável </w:t>
      </w:r>
      <w:r w:rsidR="005E04A6">
        <w:rPr>
          <w:rFonts w:ascii="Calibri" w:hAnsi="Calibri" w:cs="Calibri"/>
        </w:rPr>
        <w:t>por seus atos e manifestações no exercício da profissão, nos limites da lei, conforme art. 133 da Constituição</w:t>
      </w:r>
      <w:r w:rsidRPr="00DB5538">
        <w:rPr>
          <w:rFonts w:ascii="Calibri" w:hAnsi="Calibri" w:cs="Calibri"/>
        </w:rPr>
        <w:t>. O advogado representa e</w:t>
      </w:r>
      <w:r>
        <w:rPr>
          <w:rFonts w:ascii="Calibri" w:hAnsi="Calibri" w:cs="Calibri"/>
        </w:rPr>
        <w:t>m juízo a parte, sendo fundamental</w:t>
      </w:r>
      <w:r w:rsidRPr="00DB5538">
        <w:rPr>
          <w:rFonts w:ascii="Calibri" w:hAnsi="Calibri" w:cs="Calibri"/>
        </w:rPr>
        <w:t xml:space="preserve"> à justiça em seu exercício.</w:t>
      </w:r>
    </w:p>
    <w:p w:rsidR="005E04A6" w:rsidRDefault="005E04A6" w:rsidP="00546F6C">
      <w:pPr>
        <w:spacing w:line="276" w:lineRule="auto"/>
        <w:ind w:firstLine="567"/>
        <w:jc w:val="both"/>
      </w:pPr>
      <w:r>
        <w:t>Nesse sentido, o advogado apresenta direitos</w:t>
      </w:r>
      <w:r w:rsidR="00501B18">
        <w:t xml:space="preserve"> e deveres</w:t>
      </w:r>
      <w:r>
        <w:t xml:space="preserve"> específicos previstos</w:t>
      </w:r>
      <w:r w:rsidR="001643C1">
        <w:t xml:space="preserve"> no </w:t>
      </w:r>
      <w:r w:rsidR="001643C1" w:rsidRPr="001643C1">
        <w:rPr>
          <w:b/>
        </w:rPr>
        <w:t>Novo Código de Processo Civil</w:t>
      </w:r>
      <w:r w:rsidR="001643C1">
        <w:t xml:space="preserve"> (Lei nº 13.105/2015)</w:t>
      </w:r>
      <w:r w:rsidR="00501B18">
        <w:t xml:space="preserve">, </w:t>
      </w:r>
      <w:r w:rsidR="001643C1">
        <w:t xml:space="preserve">no </w:t>
      </w:r>
      <w:r w:rsidR="001643C1" w:rsidRPr="001643C1">
        <w:rPr>
          <w:b/>
        </w:rPr>
        <w:t>Estatuto do Advogado da OAB</w:t>
      </w:r>
      <w:r w:rsidR="001643C1">
        <w:t xml:space="preserve"> (EAOAB – Lei nº 8.906/1994) e inclusive no </w:t>
      </w:r>
      <w:r w:rsidR="001643C1" w:rsidRPr="001643C1">
        <w:rPr>
          <w:b/>
        </w:rPr>
        <w:t>Código de Ética e Disciplina da Ordem dos Advogados do Brasil</w:t>
      </w:r>
      <w:r w:rsidR="001643C1">
        <w:t xml:space="preserve"> (CEDOAB – Resolução nº 02/2015 do CFOAB), a</w:t>
      </w:r>
      <w:r>
        <w:t xml:space="preserve"> fim de garantir o pleno exercício de suas funções</w:t>
      </w:r>
      <w:r w:rsidR="00501B18">
        <w:t xml:space="preserve">. </w:t>
      </w:r>
    </w:p>
    <w:p w:rsidR="00501B18" w:rsidRPr="00794CA6" w:rsidRDefault="00501B18" w:rsidP="00546F6C">
      <w:pPr>
        <w:spacing w:line="276" w:lineRule="auto"/>
        <w:ind w:left="709" w:hanging="283"/>
        <w:jc w:val="both"/>
        <w:rPr>
          <w:b/>
        </w:rPr>
      </w:pPr>
      <w:r w:rsidRPr="00794CA6">
        <w:rPr>
          <w:b/>
        </w:rPr>
        <w:t xml:space="preserve">1.1 Deveres </w:t>
      </w:r>
    </w:p>
    <w:p w:rsidR="00501B18" w:rsidRDefault="0029733C" w:rsidP="00546F6C">
      <w:pPr>
        <w:spacing w:line="276" w:lineRule="auto"/>
        <w:ind w:firstLine="567"/>
        <w:jc w:val="both"/>
      </w:pPr>
      <w:r>
        <w:t>Consoante o</w:t>
      </w:r>
      <w:r w:rsidR="00816F59">
        <w:t xml:space="preserve"> n</w:t>
      </w:r>
      <w:r>
        <w:t>ovo Código de Processo Civil, o</w:t>
      </w:r>
      <w:r w:rsidR="00501B18">
        <w:t xml:space="preserve"> advogado, para exercer sua profissão, deve ser regulamente inscrito na Ordem dos Advogados do Brasil (OAB). Em sua atuação por mandato, deve apresentar procuração,</w:t>
      </w:r>
      <w:r w:rsidR="008548C8">
        <w:t xml:space="preserve"> dentro dos prazos previstos por lei,</w:t>
      </w:r>
      <w:r w:rsidR="00501B18">
        <w:t xml:space="preserve"> em que conste seu número de inscrição na </w:t>
      </w:r>
      <w:r w:rsidR="008548C8">
        <w:t>OAB e endereço completo. Em postulação por causa própria, todavia, não há procuração, mas é necessário declarar, na petição inicial ou na contestação, endereço, número de inscrição na OAB e nome da sociedade de advogados que integra, se houver, para receber intimações (</w:t>
      </w:r>
      <w:r w:rsidR="00197CAC">
        <w:t xml:space="preserve">CPC, </w:t>
      </w:r>
      <w:r w:rsidR="008548C8">
        <w:t>art. 106, I), bem como comunicar eventual mudança de endereço</w:t>
      </w:r>
      <w:r w:rsidR="00197CAC">
        <w:t xml:space="preserve"> (CPC, art. 106, II</w:t>
      </w:r>
      <w:r w:rsidR="008548C8">
        <w:t xml:space="preserve">).   </w:t>
      </w:r>
    </w:p>
    <w:p w:rsidR="0029733C" w:rsidRDefault="008548C8" w:rsidP="00546F6C">
      <w:pPr>
        <w:spacing w:line="276" w:lineRule="auto"/>
        <w:ind w:firstLine="567"/>
        <w:jc w:val="both"/>
      </w:pPr>
      <w:r>
        <w:t xml:space="preserve">Em caso de descumprimento do inciso I, </w:t>
      </w:r>
      <w:r w:rsidR="004B04FE">
        <w:t>o juiz ordenará o preenchimento da informação no prazo de cinco dias, antes de determinar a citação do réu. Se a omissão não for suprida, haverá o indeferimento da petição. Não verificada obediência à norma do inciso II, serão consideradas válidas as intimações enviadas por meio físico ou eletrônico ao endereço que consta nos autos.</w:t>
      </w:r>
    </w:p>
    <w:p w:rsidR="0029733C" w:rsidRDefault="0029733C" w:rsidP="00546F6C">
      <w:pPr>
        <w:spacing w:line="276" w:lineRule="auto"/>
        <w:ind w:left="709" w:hanging="283"/>
        <w:jc w:val="both"/>
      </w:pPr>
      <w:r w:rsidRPr="00567CF5">
        <w:rPr>
          <w:b/>
        </w:rPr>
        <w:t>1.2</w:t>
      </w:r>
      <w:r>
        <w:t xml:space="preserve"> Direitos </w:t>
      </w:r>
    </w:p>
    <w:p w:rsidR="007B7274" w:rsidRDefault="002E3677" w:rsidP="007B7274">
      <w:pPr>
        <w:spacing w:line="276" w:lineRule="auto"/>
        <w:ind w:firstLine="567"/>
        <w:jc w:val="both"/>
      </w:pPr>
      <w:r>
        <w:t>No Capítulo II do Estatuto do Advogado</w:t>
      </w:r>
      <w:r w:rsidR="001643C1">
        <w:t xml:space="preserve"> da OAB</w:t>
      </w:r>
      <w:r>
        <w:t xml:space="preserve">, estão previstos os direitos do advogado, </w:t>
      </w:r>
      <w:r w:rsidR="00FF6863">
        <w:t xml:space="preserve">ligados a sua independência, exercício profissional e inviolabilidade funcional. </w:t>
      </w:r>
    </w:p>
    <w:p w:rsidR="002E3677" w:rsidRDefault="00DE0654" w:rsidP="00546F6C">
      <w:pPr>
        <w:spacing w:line="276" w:lineRule="auto"/>
        <w:ind w:firstLine="567"/>
        <w:jc w:val="both"/>
      </w:pPr>
      <w:r>
        <w:t>Nesse dispositivo, d</w:t>
      </w:r>
      <w:r w:rsidR="00FF6863">
        <w:t>eclara-se a insubo</w:t>
      </w:r>
      <w:r>
        <w:t xml:space="preserve">rdinação dos advogados perante </w:t>
      </w:r>
      <w:r w:rsidR="00FF6863">
        <w:t xml:space="preserve">os magistrados </w:t>
      </w:r>
      <w:r w:rsidR="007B7274">
        <w:t>e membros do Ministério Público, em seu art. 6</w:t>
      </w:r>
      <w:r w:rsidR="007B7274">
        <w:rPr>
          <w:vertAlign w:val="superscript"/>
        </w:rPr>
        <w:t>o</w:t>
      </w:r>
      <w:r w:rsidR="007B7274">
        <w:t>,</w:t>
      </w:r>
      <w:r w:rsidR="00FF6863">
        <w:t xml:space="preserve"> assegurando-se o respeito e</w:t>
      </w:r>
      <w:r w:rsidR="00BA6A71">
        <w:t xml:space="preserve"> a</w:t>
      </w:r>
      <w:r w:rsidR="00FF6863">
        <w:t xml:space="preserve"> consideração recíprocos. </w:t>
      </w:r>
      <w:r>
        <w:t>Dessa forma</w:t>
      </w:r>
      <w:r w:rsidR="00546F6C">
        <w:t>, entende-se que o advogado deve gozar</w:t>
      </w:r>
      <w:r>
        <w:t xml:space="preserve"> de </w:t>
      </w:r>
      <w:r w:rsidR="00BA6A71">
        <w:t xml:space="preserve">plena autonomia no desempenho dos </w:t>
      </w:r>
      <w:r>
        <w:t>deveres profissionais</w:t>
      </w:r>
      <w:r w:rsidR="00BA6A71">
        <w:t xml:space="preserve">, de modo a se tornar isento de </w:t>
      </w:r>
      <w:r>
        <w:t>imposi</w:t>
      </w:r>
      <w:r w:rsidR="00BA6A71">
        <w:t>ções</w:t>
      </w:r>
      <w:r w:rsidR="00546F6C">
        <w:t xml:space="preserve"> ou influência</w:t>
      </w:r>
      <w:r w:rsidR="00BA6A71">
        <w:t>s</w:t>
      </w:r>
      <w:r w:rsidR="00546F6C">
        <w:t xml:space="preserve"> exterior</w:t>
      </w:r>
      <w:r w:rsidR="00BA6A71">
        <w:t>es</w:t>
      </w:r>
      <w:r w:rsidR="00546F6C">
        <w:t>.</w:t>
      </w:r>
    </w:p>
    <w:p w:rsidR="00071F7A" w:rsidRDefault="007B7274" w:rsidP="00071F7A">
      <w:pPr>
        <w:spacing w:line="276" w:lineRule="auto"/>
        <w:ind w:firstLine="567"/>
        <w:jc w:val="both"/>
      </w:pPr>
      <w:r>
        <w:t>No art. 7</w:t>
      </w:r>
      <w:r w:rsidR="00A901C0">
        <w:rPr>
          <w:vertAlign w:val="superscript"/>
        </w:rPr>
        <w:t>o</w:t>
      </w:r>
      <w:r>
        <w:t xml:space="preserve">, </w:t>
      </w:r>
      <w:r w:rsidR="00A360BC">
        <w:t>defende-se a liberdade de exercício profissional do advogado em todo o território nacional, bem como a inviolabilidade de seus arquivos e local de trabalho e a garantia de comunicação pessoal com seu cliente em qualquer circunstância</w:t>
      </w:r>
      <w:r w:rsidR="00A901C0">
        <w:rPr>
          <w:rStyle w:val="Refdenotaderodap"/>
        </w:rPr>
        <w:footnoteReference w:id="1"/>
      </w:r>
      <w:r w:rsidR="009C3AC0">
        <w:t>. Visa-se, assim, à proteção dos direitos constitucion</w:t>
      </w:r>
      <w:r w:rsidR="00A901C0">
        <w:t>ais relacionados a trabalho e</w:t>
      </w:r>
      <w:r w:rsidR="009C3AC0">
        <w:t xml:space="preserve"> liberdade de profissão</w:t>
      </w:r>
      <w:r w:rsidR="00586068">
        <w:t xml:space="preserve"> (CF, art. 5</w:t>
      </w:r>
      <w:r w:rsidR="00586068">
        <w:rPr>
          <w:vertAlign w:val="superscript"/>
        </w:rPr>
        <w:t>o</w:t>
      </w:r>
      <w:r w:rsidR="00586068">
        <w:t>, XIII)</w:t>
      </w:r>
      <w:r w:rsidR="009C3AC0">
        <w:t xml:space="preserve"> e à defesa do sigilo profissional</w:t>
      </w:r>
      <w:r w:rsidR="00071F7A">
        <w:t xml:space="preserve"> (CF, art. 5</w:t>
      </w:r>
      <w:r w:rsidR="00071F7A">
        <w:rPr>
          <w:vertAlign w:val="superscript"/>
        </w:rPr>
        <w:t>o</w:t>
      </w:r>
      <w:r w:rsidR="00071F7A">
        <w:t>, XIV)</w:t>
      </w:r>
      <w:r w:rsidR="009C3AC0">
        <w:t xml:space="preserve">, inerente à profissão do advogado. </w:t>
      </w:r>
    </w:p>
    <w:p w:rsidR="00C73E73" w:rsidRDefault="007B3688" w:rsidP="00A901C0">
      <w:pPr>
        <w:spacing w:line="276" w:lineRule="auto"/>
        <w:ind w:firstLine="567"/>
        <w:jc w:val="both"/>
      </w:pPr>
      <w:r>
        <w:t>O</w:t>
      </w:r>
      <w:r w:rsidR="00C73E73">
        <w:t xml:space="preserve"> mesmo artigo faz</w:t>
      </w:r>
      <w:r w:rsidR="00911945">
        <w:t xml:space="preserve"> </w:t>
      </w:r>
      <w:r>
        <w:t xml:space="preserve">também </w:t>
      </w:r>
      <w:r w:rsidR="00911945">
        <w:t>menção</w:t>
      </w:r>
      <w:r w:rsidR="00210CA8">
        <w:t xml:space="preserve"> ao regime prisional e à</w:t>
      </w:r>
      <w:r w:rsidR="00A901C0">
        <w:t xml:space="preserve"> prisão em flagrante do advogado</w:t>
      </w:r>
      <w:r w:rsidR="00C73E73">
        <w:t>, tendo por objetivo a redução de arbitrariedades que possam prejudicar sua liberdade funcional,</w:t>
      </w:r>
      <w:r w:rsidR="00586068">
        <w:t xml:space="preserve"> ao dispor como direito</w:t>
      </w:r>
      <w:r w:rsidR="00C73E73">
        <w:t xml:space="preserve">: </w:t>
      </w:r>
    </w:p>
    <w:p w:rsidR="00C73E73" w:rsidRPr="00C73E73" w:rsidRDefault="00C73E73" w:rsidP="00C73E73">
      <w:pPr>
        <w:pStyle w:val="NormalWeb"/>
        <w:shd w:val="clear" w:color="auto" w:fill="FFFFFF"/>
        <w:ind w:left="22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3E73">
        <w:rPr>
          <w:rFonts w:asciiTheme="minorHAnsi" w:eastAsiaTheme="minorHAnsi" w:hAnsiTheme="minorHAnsi" w:cstheme="minorBidi"/>
          <w:sz w:val="22"/>
          <w:szCs w:val="22"/>
          <w:lang w:eastAsia="en-US"/>
        </w:rPr>
        <w:t>IV - ter a presença de representante da OAB, quando preso em flagrante, por motivo ligado ao exercício da advocacia, para lavratura do auto respectivo, sob pena de nulidade e, nos demais casos, a comunica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ção expressa à seccional da OAB;</w:t>
      </w:r>
    </w:p>
    <w:p w:rsidR="0081366D" w:rsidRDefault="00C73E73" w:rsidP="00C73E73">
      <w:pPr>
        <w:pStyle w:val="NormalWeb"/>
        <w:shd w:val="clear" w:color="auto" w:fill="FFFFFF"/>
        <w:ind w:left="2268"/>
      </w:pPr>
      <w:bookmarkStart w:id="1" w:name="art7v"/>
      <w:bookmarkEnd w:id="1"/>
      <w:r w:rsidRPr="00C73E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- não ser recolhido preso, antes de sentença transitada em julgado, senão em sala de Estado Maior, com instalações e comodidades condignas e, 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sua falta, em prisão domiciliar. </w:t>
      </w:r>
      <w:r w:rsidRPr="00C73E73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</w:t>
      </w:r>
      <w:r w:rsidR="00A901C0">
        <w:t xml:space="preserve"> </w:t>
      </w:r>
    </w:p>
    <w:p w:rsidR="007D2A34" w:rsidRDefault="000831AE" w:rsidP="006B2C3D">
      <w:pPr>
        <w:spacing w:line="276" w:lineRule="auto"/>
        <w:ind w:firstLine="567"/>
        <w:jc w:val="both"/>
      </w:pPr>
      <w:r>
        <w:t>O ins</w:t>
      </w:r>
      <w:r w:rsidR="00C73E73">
        <w:t>trumento normativo ainda garante</w:t>
      </w:r>
      <w:r w:rsidR="00210CA8">
        <w:t xml:space="preserve"> ao</w:t>
      </w:r>
      <w:r>
        <w:t xml:space="preserve"> advogado livre acesso e permanência a</w:t>
      </w:r>
      <w:r w:rsidR="00210CA8">
        <w:t xml:space="preserve">os órgãos do judiciário e </w:t>
      </w:r>
      <w:r>
        <w:t>recintos públicos</w:t>
      </w:r>
      <w:r w:rsidR="00C73E73">
        <w:t>, além de</w:t>
      </w:r>
      <w:r>
        <w:t xml:space="preserve"> facilidade de comunicação em relação aos magistrados, </w:t>
      </w:r>
      <w:r w:rsidR="00586068">
        <w:t>em suas salas e gabinetes</w:t>
      </w:r>
      <w:r w:rsidR="001D27F1">
        <w:t xml:space="preserve"> de trabalho</w:t>
      </w:r>
      <w:r w:rsidR="00586068">
        <w:t xml:space="preserve">, </w:t>
      </w:r>
      <w:r>
        <w:t>assegurados o de</w:t>
      </w:r>
      <w:r w:rsidR="00586068">
        <w:t>vido respeito e discrição.</w:t>
      </w:r>
      <w:r w:rsidR="006B2C3D">
        <w:t xml:space="preserve"> </w:t>
      </w:r>
      <w:r w:rsidR="001D27F1">
        <w:t>Alé</w:t>
      </w:r>
      <w:r w:rsidR="006B2C3D">
        <w:t>m disso, inclui</w:t>
      </w:r>
      <w:r w:rsidR="001D27F1">
        <w:t xml:space="preserve"> direitos relativos ao exercício profissional em juízo, permitindo o uso da palavra,</w:t>
      </w:r>
      <w:r w:rsidR="006B2C3D">
        <w:t xml:space="preserve"> mediante intervenção,</w:t>
      </w:r>
      <w:r w:rsidR="001D27F1">
        <w:t xml:space="preserve"> para esclarecimento, réplica</w:t>
      </w:r>
      <w:r w:rsidR="007B3688">
        <w:t xml:space="preserve"> ou censura,</w:t>
      </w:r>
      <w:r w:rsidR="006B2C3D">
        <w:t xml:space="preserve"> e a possibilidade de reclamação contra inobservância de preceito de lei ou regulamento. </w:t>
      </w:r>
    </w:p>
    <w:p w:rsidR="006B2C3D" w:rsidRPr="009C3AC0" w:rsidRDefault="007D2A34" w:rsidP="000D75FA">
      <w:pPr>
        <w:spacing w:line="276" w:lineRule="auto"/>
        <w:ind w:firstLine="567"/>
        <w:jc w:val="both"/>
      </w:pPr>
      <w:r>
        <w:t>No intuito de</w:t>
      </w:r>
      <w:r w:rsidR="001961E7">
        <w:t xml:space="preserve"> possibilitar melhor cumprimento dos objetivos da advocacia</w:t>
      </w:r>
      <w:r w:rsidR="000D75FA">
        <w:t>, é considerado</w:t>
      </w:r>
      <w:r>
        <w:t xml:space="preserve"> direit</w:t>
      </w:r>
      <w:r w:rsidR="007A2728">
        <w:t>o</w:t>
      </w:r>
      <w:r w:rsidR="000D75FA">
        <w:t xml:space="preserve"> </w:t>
      </w:r>
      <w:r w:rsidR="0025508B">
        <w:t>a</w:t>
      </w:r>
      <w:r w:rsidR="000D75FA" w:rsidRPr="000D75FA">
        <w:t xml:space="preserve"> a</w:t>
      </w:r>
      <w:r w:rsidR="0025508B">
        <w:t xml:space="preserve">ssistência </w:t>
      </w:r>
      <w:r w:rsidR="007A2728">
        <w:t>ao cliente investigado</w:t>
      </w:r>
      <w:r w:rsidR="000D75FA" w:rsidRPr="000D75FA">
        <w:t xml:space="preserve"> durante a apuração de </w:t>
      </w:r>
      <w:r w:rsidR="000D75FA">
        <w:t>infrações e</w:t>
      </w:r>
      <w:r w:rsidR="000D75FA" w:rsidRPr="000D75FA">
        <w:t xml:space="preserve"> de todos os elementos investigatórios e probatórios dele decorrentes</w:t>
      </w:r>
      <w:bookmarkStart w:id="2" w:name="art7xxia"/>
      <w:bookmarkEnd w:id="2"/>
      <w:r w:rsidR="000D75FA">
        <w:t>.</w:t>
      </w:r>
      <w:r w:rsidR="0025508B">
        <w:t xml:space="preserve"> </w:t>
      </w:r>
      <w:r w:rsidR="000D75FA">
        <w:t>Nesse sentido, a</w:t>
      </w:r>
      <w:r w:rsidR="00F56E69">
        <w:t xml:space="preserve"> fim de preservar </w:t>
      </w:r>
      <w:r w:rsidR="0025508B">
        <w:t>o sigilo d</w:t>
      </w:r>
      <w:r w:rsidR="00F56E69">
        <w:t xml:space="preserve">as </w:t>
      </w:r>
      <w:r w:rsidR="00733739">
        <w:t>informações a que o advogado tem acesso por meio de sua profissão, a lei assegura-lhe</w:t>
      </w:r>
      <w:r w:rsidR="007A2728">
        <w:t>, inclusive,</w:t>
      </w:r>
      <w:r w:rsidR="00733739">
        <w:t xml:space="preserve"> o direito de se recusar a depor como testemunha em processo relacionado à pessoa de quem seja ou foi advogado. </w:t>
      </w:r>
    </w:p>
    <w:p w:rsidR="0029733C" w:rsidRDefault="00816F59" w:rsidP="00546F6C">
      <w:pPr>
        <w:spacing w:line="276" w:lineRule="auto"/>
        <w:ind w:firstLine="567"/>
        <w:jc w:val="both"/>
      </w:pPr>
      <w:r>
        <w:t>No artigo 107 do novo CPC, estão dispostos o</w:t>
      </w:r>
      <w:r w:rsidR="0025508B">
        <w:t>utros</w:t>
      </w:r>
      <w:r>
        <w:t xml:space="preserve"> </w:t>
      </w:r>
      <w:r w:rsidR="002E3677">
        <w:t>direitos do advogado</w:t>
      </w:r>
      <w:r w:rsidR="0025508B">
        <w:t>,</w:t>
      </w:r>
      <w:r>
        <w:t xml:space="preserve"> referentes à sua atuação em causa própria ou por mandato, a saber: </w:t>
      </w:r>
    </w:p>
    <w:p w:rsidR="00816F59" w:rsidRPr="00816F59" w:rsidRDefault="00816F59" w:rsidP="00546F6C">
      <w:pPr>
        <w:pStyle w:val="artigo"/>
        <w:spacing w:line="276" w:lineRule="auto"/>
        <w:ind w:left="22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6F59">
        <w:rPr>
          <w:rFonts w:asciiTheme="minorHAnsi" w:eastAsiaTheme="minorHAnsi" w:hAnsiTheme="minorHAnsi" w:cstheme="minorBidi"/>
          <w:sz w:val="22"/>
          <w:szCs w:val="22"/>
          <w:lang w:eastAsia="en-US"/>
        </w:rPr>
        <w:t>I - examinar, em cartório de fórum e secretaria de tribunal, mesmo sem procuração, autos de qualquer processo, independentemente da fase de tramitação, assegurados a obtenção de cópias e o registro de anotações, salvo na hipótese de segredo de ju</w:t>
      </w:r>
      <w:r w:rsidR="00546F6C">
        <w:rPr>
          <w:rFonts w:asciiTheme="minorHAnsi" w:eastAsiaTheme="minorHAnsi" w:hAnsiTheme="minorHAnsi" w:cstheme="minorBidi"/>
          <w:sz w:val="22"/>
          <w:szCs w:val="22"/>
          <w:lang w:eastAsia="en-US"/>
        </w:rPr>
        <w:t>stiça, nas quais apenas o advoga</w:t>
      </w:r>
      <w:r w:rsidRPr="00816F59">
        <w:rPr>
          <w:rFonts w:asciiTheme="minorHAnsi" w:eastAsiaTheme="minorHAnsi" w:hAnsiTheme="minorHAnsi" w:cstheme="minorBidi"/>
          <w:sz w:val="22"/>
          <w:szCs w:val="22"/>
          <w:lang w:eastAsia="en-US"/>
        </w:rPr>
        <w:t>do constituído terá acesso aos autos;</w:t>
      </w:r>
    </w:p>
    <w:p w:rsidR="00816F59" w:rsidRPr="00816F59" w:rsidRDefault="00816F59" w:rsidP="00546F6C">
      <w:pPr>
        <w:pStyle w:val="artigo"/>
        <w:spacing w:line="276" w:lineRule="auto"/>
        <w:ind w:left="22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" w:name="art107ii"/>
      <w:bookmarkEnd w:id="3"/>
      <w:r w:rsidRPr="00816F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II - requerer, como procurador, vista dos autos de qualquer processo, pelo prazo de </w:t>
      </w:r>
      <w:r w:rsidR="007A2728">
        <w:rPr>
          <w:rFonts w:asciiTheme="minorHAnsi" w:eastAsiaTheme="minorHAnsi" w:hAnsiTheme="minorHAnsi" w:cstheme="minorBidi"/>
          <w:sz w:val="22"/>
          <w:szCs w:val="22"/>
          <w:lang w:eastAsia="en-US"/>
        </w:rPr>
        <w:t>5 (cinco) dias;</w:t>
      </w:r>
    </w:p>
    <w:p w:rsidR="00816F59" w:rsidRDefault="00816F59" w:rsidP="00546F6C">
      <w:pPr>
        <w:pStyle w:val="artigo"/>
        <w:spacing w:line="276" w:lineRule="auto"/>
        <w:ind w:left="22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4" w:name="art107iii"/>
      <w:bookmarkEnd w:id="4"/>
      <w:r w:rsidRPr="00816F59">
        <w:rPr>
          <w:rFonts w:asciiTheme="minorHAnsi" w:eastAsiaTheme="minorHAnsi" w:hAnsiTheme="minorHAnsi" w:cstheme="minorBidi"/>
          <w:sz w:val="22"/>
          <w:szCs w:val="22"/>
          <w:lang w:eastAsia="en-US"/>
        </w:rPr>
        <w:t>III - retirar os autos do cartório ou da secretaria, pelo prazo legal, sempre que neles lhe couber falar por determinação do juiz, nos casos previstos em lei.</w:t>
      </w:r>
    </w:p>
    <w:p w:rsidR="00197CAC" w:rsidRDefault="00197CAC" w:rsidP="00546F6C">
      <w:pPr>
        <w:pStyle w:val="artigo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É comum às partes o prazo de manifestação no processo, de modo que os autos não devem sair do cartório, a não ser em conjunto mediante prévio ajuste dos procuradores, manifestado em petição dirigida ao juiz (CPC, art. 107, </w:t>
      </w:r>
      <w:r w:rsidRPr="00197CAC">
        <w:rPr>
          <w:rFonts w:asciiTheme="minorHAnsi" w:eastAsiaTheme="minorHAnsi" w:hAnsiTheme="minorHAnsi" w:cstheme="minorBidi"/>
          <w:sz w:val="22"/>
          <w:szCs w:val="22"/>
          <w:lang w:eastAsia="en-US"/>
        </w:rPr>
        <w:t>§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</w:t>
      </w:r>
      <w:r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Todavia, quando for necessária a extração de cópias de peças do processo, é permitida ao procurador de qualquer das partes a retirada dos autos, </w:t>
      </w:r>
      <w:r w:rsidR="00D514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mediante assinatura em livro de carga ou em documento próprio,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pelo prazo de duas a seis horas, sendo dispensável ajuste prévio e não havendo prejuízo da continuidade do prazo (CPC, art. 107, </w:t>
      </w:r>
      <w:r w:rsidRPr="00197CAC">
        <w:rPr>
          <w:rFonts w:asciiTheme="minorHAnsi" w:eastAsiaTheme="minorHAnsi" w:hAnsiTheme="minorHAnsi" w:cstheme="minorBidi"/>
          <w:sz w:val="22"/>
          <w:szCs w:val="22"/>
          <w:lang w:eastAsia="en-US"/>
        </w:rPr>
        <w:t>§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</w:t>
      </w:r>
      <w:r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DB05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51473">
        <w:rPr>
          <w:rFonts w:asciiTheme="minorHAnsi" w:eastAsiaTheme="minorHAnsi" w:hAnsiTheme="minorHAnsi" w:cstheme="minorBidi"/>
          <w:sz w:val="22"/>
          <w:szCs w:val="22"/>
          <w:lang w:eastAsia="en-US"/>
        </w:rPr>
        <w:t>Haverá, no entanto, perda</w:t>
      </w:r>
      <w:r w:rsidR="00DB05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1473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DB05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esse direito, no mesmo processo, caso </w:t>
      </w:r>
      <w:r w:rsidR="00D514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advogado </w:t>
      </w:r>
      <w:r w:rsidR="00DB05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não devolva os autos dentro do prazo estipulado, </w:t>
      </w:r>
      <w:r w:rsidR="008D0C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salvo se esse for prorrogado pelo juiz (CPC, art. 107, </w:t>
      </w:r>
      <w:r w:rsidR="008D0CC2" w:rsidRPr="008D0CC2">
        <w:rPr>
          <w:rFonts w:asciiTheme="minorHAnsi" w:eastAsiaTheme="minorHAnsi" w:hAnsiTheme="minorHAnsi" w:cstheme="minorBidi"/>
          <w:sz w:val="22"/>
          <w:szCs w:val="22"/>
          <w:lang w:eastAsia="en-US"/>
        </w:rPr>
        <w:t>§</w:t>
      </w:r>
      <w:r w:rsidR="008D0C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</w:t>
      </w:r>
      <w:r w:rsidR="008D0CC2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o</w:t>
      </w:r>
      <w:r w:rsidR="008D0CC2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  <w:r w:rsidR="00D514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51473" w:rsidRDefault="00D51473" w:rsidP="00546F6C">
      <w:pPr>
        <w:pStyle w:val="artigo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O requerimento de vista dos autos e sua retirada em cartório são exclusivas dos advogados das partes que litigam no processo </w:t>
      </w:r>
      <w:r w:rsidR="002E36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dependem de mandato, já a faculdade de examiná-los em cartório pode ser exercida a qualquer momento e por qualquer advogado, desde que o processo não esteja sob segredo de Justiça. </w:t>
      </w:r>
    </w:p>
    <w:p w:rsidR="00A479B1" w:rsidRDefault="00A479B1" w:rsidP="00546F6C">
      <w:pPr>
        <w:pStyle w:val="artigo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Ainda, é direito do advogado a retirada do recinto no qual aguarda pregão para ato judicial mediante comunicação protocolizada em juízo, desde que trinta minutos após o horário determinado e que a autoridade presidente não tenha ainda aparecido. Isso se deve em razão dos atrasos nos fóruns que são mais que corriqueiros.</w:t>
      </w:r>
    </w:p>
    <w:p w:rsidR="00A479B1" w:rsidRDefault="00A479B1" w:rsidP="001643C1">
      <w:pPr>
        <w:pStyle w:val="artigo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Quanto ao uso de símbolos privativos da profissão, ou seja, aqueles aprovados ou difundidos pelo Conselho Federal e os que a tradição vinculou à advocacia, conserva-se esse direito àqueles advogados inscritos regularmente na OAB ou nas sociedades de advogados, sendo importante compreender ainda que </w:t>
      </w:r>
      <w:r w:rsidR="00794CA6">
        <w:rPr>
          <w:rFonts w:asciiTheme="minorHAnsi" w:eastAsiaTheme="minorHAnsi" w:hAnsiTheme="minorHAnsi" w:cstheme="minorBidi"/>
          <w:sz w:val="22"/>
          <w:szCs w:val="22"/>
          <w:lang w:eastAsia="en-US"/>
        </w:rPr>
        <w:t>se veda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utilização desses símbolos na divulgação de escritórios de advocacia.</w:t>
      </w:r>
    </w:p>
    <w:p w:rsidR="001643C1" w:rsidRDefault="00A479B1" w:rsidP="001643C1">
      <w:pPr>
        <w:pStyle w:val="artigo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Finalmente, tem-se o desagravo público como prerrogativa do advogado, que deve ser promovido pela classe em sessão pública e solene, quando ofendido no exercício da profissão ou de cargo ou função da OAB</w:t>
      </w:r>
      <w:r w:rsidR="00794CA6">
        <w:rPr>
          <w:rFonts w:asciiTheme="minorHAnsi" w:eastAsiaTheme="minorHAnsi" w:hAnsiTheme="minorHAnsi" w:cstheme="minorBidi"/>
          <w:sz w:val="22"/>
          <w:szCs w:val="22"/>
          <w:lang w:eastAsia="en-US"/>
        </w:rPr>
        <w:t>. Tem como objetivo atacar a ofensa e reparar, na medida do possível, a humilhação causada pela ofensa injusta contra profissional em legítimo exercício de suas atribuições.</w:t>
      </w:r>
    </w:p>
    <w:p w:rsidR="00794CA6" w:rsidRDefault="002328F2" w:rsidP="00794CA6">
      <w:pPr>
        <w:spacing w:line="276" w:lineRule="auto"/>
        <w:ind w:left="709" w:hanging="283"/>
        <w:jc w:val="both"/>
      </w:pPr>
      <w:r w:rsidRPr="00567CF5">
        <w:rPr>
          <w:b/>
        </w:rPr>
        <w:t>1.3</w:t>
      </w:r>
      <w:r>
        <w:t xml:space="preserve"> </w:t>
      </w:r>
      <w:r w:rsidRPr="00794CA6">
        <w:rPr>
          <w:b/>
        </w:rPr>
        <w:t>Deveres funcionais</w:t>
      </w:r>
      <w:r>
        <w:t xml:space="preserve"> </w:t>
      </w:r>
    </w:p>
    <w:p w:rsidR="00794CA6" w:rsidRDefault="00794CA6" w:rsidP="00794CA6">
      <w:pPr>
        <w:spacing w:line="276" w:lineRule="auto"/>
        <w:jc w:val="both"/>
      </w:pPr>
      <w:r>
        <w:tab/>
        <w:t xml:space="preserve">O parágrafo único do art. 2º do Novo Código de Ética e Disciplina da Ordem dos Advogados do Brasil </w:t>
      </w:r>
      <w:r w:rsidR="001C19DA">
        <w:t>(OAB) determina alguns deveres inerentes à profissão do advogado. Este deve preservar a honra, a nobreza e a dignidade da profissão quando agir e zelar por aquilo que é essencial e indispensável. Deve ainda atuar com destemor, independência, honestidade, decoro, veracidade, lealdade, dignidade e boa-fé.</w:t>
      </w:r>
    </w:p>
    <w:p w:rsidR="001C19DA" w:rsidRDefault="001C19DA" w:rsidP="00794CA6">
      <w:pPr>
        <w:spacing w:line="276" w:lineRule="auto"/>
        <w:jc w:val="both"/>
      </w:pPr>
      <w:r>
        <w:tab/>
        <w:t>Apesar de ser necessário que ele vele por sua reputação e se empenhe no aperfeiçoamento pessoal e profissional, é extremamente importante que contribua para o aprimoramento das instituições e do Direito como um todo.</w:t>
      </w:r>
    </w:p>
    <w:p w:rsidR="001C19DA" w:rsidRDefault="001C19DA" w:rsidP="00794CA6">
      <w:pPr>
        <w:spacing w:line="276" w:lineRule="auto"/>
        <w:jc w:val="both"/>
      </w:pPr>
      <w:r>
        <w:tab/>
        <w:t>Ainda, ele deve estimular a conciliação e mediação entre os litigantes sempre que possível, para evitar a instauração de litígios e prezar pela solução de problemas da cidadania e a efetiva consolidação dos direitos individuais, coletivos e difusos. Como postura mais genérica, precisa cumprir encargos assumidos no âmbito da OAB e zelas pelos valores institucionais tanto deste órgão quanto da advocacia em si.</w:t>
      </w:r>
    </w:p>
    <w:p w:rsidR="00794CA6" w:rsidRDefault="001C19DA" w:rsidP="00794CA6">
      <w:pPr>
        <w:spacing w:line="276" w:lineRule="auto"/>
        <w:jc w:val="both"/>
      </w:pPr>
      <w:r>
        <w:tab/>
        <w:t>Ater-se à defesa dos necessitados é primordial quando atua na função de defensor público. Já em relação ao que deve se abster, muitas são as situações abarcadas. O advogado tem o dever de não influenciar indevidamente ninguém, em seu próprio benefício ou de seu cliente. Não pode vincular seu nome a empreendimentos que são sabidamente suspeitos e ocultos e nem apoiar quem atente contra a ética, moral, honestidade e dignidade da pessoa humana.</w:t>
      </w:r>
      <w:r w:rsidR="003A02B9">
        <w:t xml:space="preserve"> Ainda, não deve contratar honorários advocatícios em valores aviltantes ou, perante autoridades as quais tenha vínculo negocial ou familiar, ingressar em pleitos judicias ou administrativos. </w:t>
      </w:r>
    </w:p>
    <w:p w:rsidR="00794CA6" w:rsidRPr="00794CA6" w:rsidRDefault="00794CA6" w:rsidP="00794CA6">
      <w:pPr>
        <w:spacing w:line="276" w:lineRule="auto"/>
        <w:ind w:left="709" w:hanging="283"/>
        <w:jc w:val="both"/>
        <w:rPr>
          <w:b/>
        </w:rPr>
      </w:pPr>
      <w:r>
        <w:rPr>
          <w:b/>
        </w:rPr>
        <w:t>1.</w:t>
      </w:r>
      <w:r w:rsidRPr="00794CA6">
        <w:rPr>
          <w:b/>
        </w:rPr>
        <w:t>4 Inscrição da OAB</w:t>
      </w:r>
    </w:p>
    <w:p w:rsidR="00513AC0" w:rsidRDefault="003A02B9" w:rsidP="00794CA6">
      <w:pPr>
        <w:spacing w:line="276" w:lineRule="auto"/>
        <w:jc w:val="both"/>
      </w:pPr>
      <w:r w:rsidRPr="003A02B9">
        <w:tab/>
        <w:t>A inscri</w:t>
      </w:r>
      <w:r>
        <w:t xml:space="preserve">ção do advogado é tratada no Capítulo III (“Da Inscrição”) do Título I do Estatuto da Advocacia da OAB. Primeiramente, o art. 8º determina os requisitos necessários à inscrição do advogado, são eles: </w:t>
      </w:r>
    </w:p>
    <w:p w:rsidR="00513AC0" w:rsidRDefault="00513AC0" w:rsidP="00513AC0">
      <w:pPr>
        <w:pStyle w:val="PargrafodaLista"/>
        <w:numPr>
          <w:ilvl w:val="0"/>
          <w:numId w:val="4"/>
        </w:numPr>
        <w:spacing w:line="276" w:lineRule="auto"/>
        <w:jc w:val="both"/>
      </w:pPr>
      <w:r w:rsidRPr="00513AC0">
        <w:rPr>
          <w:u w:val="single"/>
        </w:rPr>
        <w:t>C</w:t>
      </w:r>
      <w:r w:rsidR="003A02B9" w:rsidRPr="00513AC0">
        <w:rPr>
          <w:u w:val="single"/>
        </w:rPr>
        <w:t>apacidade civil</w:t>
      </w:r>
      <w:r w:rsidR="003A02B9">
        <w:t xml:space="preserve"> (comprovada mediante apresentação de documento de identidade, certidão de nascimento ou de casamento atualizada); </w:t>
      </w:r>
    </w:p>
    <w:p w:rsidR="00513AC0" w:rsidRDefault="00513AC0" w:rsidP="00513AC0">
      <w:pPr>
        <w:pStyle w:val="Pargrafoda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D</w:t>
      </w:r>
      <w:r w:rsidR="003A02B9" w:rsidRPr="00513AC0">
        <w:rPr>
          <w:u w:val="single"/>
        </w:rPr>
        <w:t>iploma ou certidão de graduação em direito, obtido em instituição de ensino oficialmente autorizada e credenciada</w:t>
      </w:r>
      <w:r>
        <w:t xml:space="preserve"> (na falta de diploma, o bacharel deverá apresentar certidão de colação de grau em direito e histórico escolar)</w:t>
      </w:r>
      <w:r w:rsidR="003A02B9">
        <w:t xml:space="preserve">; </w:t>
      </w:r>
    </w:p>
    <w:p w:rsidR="00513AC0" w:rsidRDefault="00513AC0" w:rsidP="00513AC0">
      <w:pPr>
        <w:pStyle w:val="Pargrafoda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T</w:t>
      </w:r>
      <w:r w:rsidR="003A02B9" w:rsidRPr="00513AC0">
        <w:rPr>
          <w:u w:val="single"/>
        </w:rPr>
        <w:t>ítulo de eleitor e quitação do serviço militar, se brasileiro</w:t>
      </w:r>
      <w:r>
        <w:t xml:space="preserve"> (para comprovar a regularidade militar e eleitoral)</w:t>
      </w:r>
      <w:r w:rsidR="003A02B9">
        <w:t xml:space="preserve">; </w:t>
      </w:r>
    </w:p>
    <w:p w:rsidR="00513AC0" w:rsidRDefault="00513AC0" w:rsidP="00513AC0">
      <w:pPr>
        <w:pStyle w:val="Pargrafoda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A</w:t>
      </w:r>
      <w:r w:rsidR="003A02B9" w:rsidRPr="00513AC0">
        <w:rPr>
          <w:u w:val="single"/>
        </w:rPr>
        <w:t>provação em Exame de Ordem</w:t>
      </w:r>
      <w:r w:rsidR="003A02B9">
        <w:t xml:space="preserve">; </w:t>
      </w:r>
    </w:p>
    <w:p w:rsidR="00513AC0" w:rsidRDefault="00513AC0" w:rsidP="00513AC0">
      <w:pPr>
        <w:pStyle w:val="Pargrafoda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N</w:t>
      </w:r>
      <w:r w:rsidR="003A02B9" w:rsidRPr="00513AC0">
        <w:rPr>
          <w:u w:val="single"/>
        </w:rPr>
        <w:t>ão exercer atividade incompatível com a advocacia</w:t>
      </w:r>
      <w:r>
        <w:t xml:space="preserve"> (enunciadas nos artigos 28 a 30 deste mesmo Estatuto)</w:t>
      </w:r>
      <w:r w:rsidR="003A02B9">
        <w:t xml:space="preserve">; </w:t>
      </w:r>
    </w:p>
    <w:p w:rsidR="00794CA6" w:rsidRDefault="00513AC0" w:rsidP="00513AC0">
      <w:pPr>
        <w:pStyle w:val="Pargrafoda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I</w:t>
      </w:r>
      <w:r w:rsidR="003A02B9" w:rsidRPr="00513AC0">
        <w:rPr>
          <w:u w:val="single"/>
        </w:rPr>
        <w:t>doneidade moral</w:t>
      </w:r>
      <w:r>
        <w:t xml:space="preserve"> (deve não possuir antecedentes e não estar sendo processado)</w:t>
      </w:r>
      <w:r w:rsidR="003A02B9">
        <w:t>; prestar compromisso perante o conselho</w:t>
      </w:r>
      <w:r>
        <w:t xml:space="preserve"> (presta compromisso em sessão perante o Conselho Seccional, a diretoria ou o conselho da Subseção com os seguintes dizeres estipulados no art. 20 do Regulamento da Advocacia: “Prometo exercer a advocacia com dignidade e independência, observar a ética, os deveres e prerrogativas profissionais e defender a Constituição, a ordem jurídica do Estado Democrático, os direitos humanos e o aperfeiçoamento da cultura e das instituições jurídicas”)</w:t>
      </w:r>
      <w:r w:rsidR="003A02B9">
        <w:t>.</w:t>
      </w:r>
    </w:p>
    <w:p w:rsidR="00794CA6" w:rsidRPr="00513AC0" w:rsidRDefault="00513AC0" w:rsidP="00794CA6">
      <w:pPr>
        <w:spacing w:line="276" w:lineRule="auto"/>
        <w:jc w:val="both"/>
      </w:pPr>
      <w:r>
        <w:tab/>
        <w:t>Quanto àquele não graduado em direito no Brasil, seja estrangeiro ou brasileiro, deve fazer prova do título de graduação, obtido em instituição estrangeira, devidamente revalidado. Ainda, quanto à inidoneidade moral, deve esta, quando suscitada por outrem, ser declarada mediante decisão de no mínimo 2/3 dos votos dos membros do conselho competente, não atendendo ao perfil de idoneidade moral aquele condenado por crime infamante, salvo reabilitação judicial.</w:t>
      </w:r>
    </w:p>
    <w:p w:rsidR="00794CA6" w:rsidRPr="00513AC0" w:rsidRDefault="00794CA6" w:rsidP="00794CA6">
      <w:pPr>
        <w:spacing w:line="276" w:lineRule="auto"/>
        <w:jc w:val="both"/>
      </w:pPr>
      <w:r w:rsidRPr="00513AC0">
        <w:t xml:space="preserve"> </w:t>
      </w:r>
      <w:r w:rsidR="00513AC0">
        <w:tab/>
        <w:t>Ainda, segundo o art. 10, a inscrição do advogado deve ser feita no Conselho Seccional no território o qual pretende estabelecer domicílio profissional, ou seja, a sede principal da atividade de advocacia, prevalecendo, na dúvida, o domicílio da pessoa física do advogado. Entretanto, é também necessária inscrição suplementar nos Conselhos Seccionais cujos territórios pretende exercer habitualmente (intervenção judicial em mais de cinco causas por ano) a profissão. Se houver mudança efetiva de domicílio profissional, deve haver também obviamente a transferência da inscrição para o Conselho Seccional correspondente.</w:t>
      </w:r>
    </w:p>
    <w:p w:rsidR="00513AC0" w:rsidRDefault="00513AC0" w:rsidP="00A901C0">
      <w:pPr>
        <w:pStyle w:val="artigo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No art. 11, trata-se do cancelamento da inscrição do advogado, que pode ocorrer nas seguintes situações: </w:t>
      </w:r>
    </w:p>
    <w:p w:rsidR="00513AC0" w:rsidRDefault="00513AC0" w:rsidP="00513AC0">
      <w:pPr>
        <w:pStyle w:val="artigo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Requerimento do profissional; penalidade de exclusão; </w:t>
      </w:r>
    </w:p>
    <w:p w:rsidR="00513AC0" w:rsidRDefault="00513AC0" w:rsidP="00513AC0">
      <w:pPr>
        <w:pStyle w:val="artigo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Falecimento; </w:t>
      </w:r>
    </w:p>
    <w:p w:rsidR="00513AC0" w:rsidRDefault="00513AC0" w:rsidP="00513AC0">
      <w:pPr>
        <w:pStyle w:val="artigo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Exercício, em caráter definitivo, de atividade incompatível com a advocacia; ou </w:t>
      </w:r>
    </w:p>
    <w:p w:rsidR="00501B18" w:rsidRDefault="00513AC0" w:rsidP="00513AC0">
      <w:pPr>
        <w:pStyle w:val="artigo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Perda de qualquer um dos requisitos necessários à inscrição.</w:t>
      </w:r>
    </w:p>
    <w:p w:rsidR="00513AC0" w:rsidRDefault="00FF6F56" w:rsidP="00FF6F56">
      <w:pPr>
        <w:pStyle w:val="artigo"/>
        <w:spacing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Já o art. 12 trata do licenciamento do profissional (casos em que há um novo pedido de inscrição), que pode ocorrer nas seguintes situações:</w:t>
      </w:r>
    </w:p>
    <w:p w:rsidR="00FF6F56" w:rsidRDefault="00FF6F56" w:rsidP="00FF6F56">
      <w:pPr>
        <w:pStyle w:val="artigo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Requerimento do profissional, por motivo justificado;</w:t>
      </w:r>
    </w:p>
    <w:p w:rsidR="00FF6F56" w:rsidRDefault="00FF6F56" w:rsidP="00FF6F56">
      <w:pPr>
        <w:pStyle w:val="artigo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Exercício, em caráter temporário, de atividade incompatível com o exercício da cidadania;</w:t>
      </w:r>
    </w:p>
    <w:p w:rsidR="00FF6F56" w:rsidRDefault="00FF6F56" w:rsidP="00FF6F56">
      <w:pPr>
        <w:pStyle w:val="artigo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Vítima de doença mental considerada curável.</w:t>
      </w:r>
    </w:p>
    <w:p w:rsidR="00FF6F56" w:rsidRDefault="00FF6F56" w:rsidP="00FF6F56">
      <w:pPr>
        <w:pStyle w:val="artigo"/>
        <w:spacing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Finalmente, quanto ao documento de identidade profissional, este é de uso obrigatório no exercício das atividades inerentes à profissão e constitui prova de identidade civil para fins legais (art. 13). É também obrigatório que, em todos os documentos assinados pelo advogado no exercício de sua atividade, haja a indicação do nome e do número de inscrição, sendo vedado, sem indicação expressa de tal nome e número, anunciar ou divulgar quaisquer atividades relacionadas com o exercício da advocacia ou até mesmo o uso da expressão escritório de advocacia.</w:t>
      </w:r>
    </w:p>
    <w:p w:rsidR="00513AC0" w:rsidRPr="00513AC0" w:rsidRDefault="00513AC0" w:rsidP="00513AC0">
      <w:pPr>
        <w:pStyle w:val="artigo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513AC0" w:rsidRPr="00513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43" w:rsidRDefault="00E57243" w:rsidP="00A901C0">
      <w:pPr>
        <w:spacing w:after="0" w:line="240" w:lineRule="auto"/>
      </w:pPr>
      <w:r>
        <w:separator/>
      </w:r>
    </w:p>
  </w:endnote>
  <w:endnote w:type="continuationSeparator" w:id="0">
    <w:p w:rsidR="00E57243" w:rsidRDefault="00E57243" w:rsidP="00A9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43" w:rsidRDefault="00E57243" w:rsidP="00A901C0">
      <w:pPr>
        <w:spacing w:after="0" w:line="240" w:lineRule="auto"/>
      </w:pPr>
      <w:r>
        <w:separator/>
      </w:r>
    </w:p>
  </w:footnote>
  <w:footnote w:type="continuationSeparator" w:id="0">
    <w:p w:rsidR="00E57243" w:rsidRDefault="00E57243" w:rsidP="00A901C0">
      <w:pPr>
        <w:spacing w:after="0" w:line="240" w:lineRule="auto"/>
      </w:pPr>
      <w:r>
        <w:continuationSeparator/>
      </w:r>
    </w:p>
  </w:footnote>
  <w:footnote w:id="1">
    <w:p w:rsidR="00A901C0" w:rsidRPr="00A901C0" w:rsidRDefault="00A901C0" w:rsidP="00A901C0">
      <w:pPr>
        <w:spacing w:after="0" w:line="276" w:lineRule="auto"/>
        <w:jc w:val="both"/>
        <w:rPr>
          <w:sz w:val="20"/>
          <w:szCs w:val="20"/>
        </w:rPr>
      </w:pPr>
      <w:r w:rsidRPr="00A901C0">
        <w:rPr>
          <w:rStyle w:val="Refdenotaderodap"/>
          <w:sz w:val="20"/>
          <w:szCs w:val="20"/>
        </w:rPr>
        <w:footnoteRef/>
      </w:r>
      <w:r w:rsidRPr="00A901C0">
        <w:rPr>
          <w:sz w:val="20"/>
          <w:szCs w:val="20"/>
        </w:rPr>
        <w:t xml:space="preserve"> </w:t>
      </w:r>
      <w:r w:rsidR="0081366D">
        <w:rPr>
          <w:sz w:val="20"/>
          <w:szCs w:val="20"/>
        </w:rPr>
        <w:t>Lei 8.906/1994: “</w:t>
      </w:r>
      <w:r w:rsidRPr="00A901C0">
        <w:rPr>
          <w:sz w:val="20"/>
          <w:szCs w:val="20"/>
        </w:rPr>
        <w:t>Art. 7</w:t>
      </w:r>
      <w:r w:rsidRPr="00A901C0">
        <w:rPr>
          <w:sz w:val="20"/>
          <w:szCs w:val="20"/>
          <w:vertAlign w:val="superscript"/>
        </w:rPr>
        <w:t>o</w:t>
      </w:r>
      <w:r w:rsidRPr="00A901C0">
        <w:rPr>
          <w:sz w:val="20"/>
          <w:szCs w:val="20"/>
        </w:rPr>
        <w:t xml:space="preserve"> São direitos do advogado:</w:t>
      </w:r>
    </w:p>
    <w:p w:rsidR="00A901C0" w:rsidRPr="00A901C0" w:rsidRDefault="00A901C0" w:rsidP="00A901C0">
      <w:pPr>
        <w:spacing w:after="0" w:line="276" w:lineRule="auto"/>
        <w:jc w:val="both"/>
        <w:rPr>
          <w:sz w:val="20"/>
          <w:szCs w:val="20"/>
        </w:rPr>
      </w:pPr>
      <w:r w:rsidRPr="00A901C0">
        <w:rPr>
          <w:sz w:val="20"/>
          <w:szCs w:val="20"/>
        </w:rPr>
        <w:t>I - exercer, com liberdade, a profissão em todo o território nacional;</w:t>
      </w:r>
    </w:p>
    <w:p w:rsidR="00A901C0" w:rsidRPr="00A901C0" w:rsidRDefault="00A901C0" w:rsidP="00A901C0">
      <w:pPr>
        <w:spacing w:after="0" w:line="276" w:lineRule="auto"/>
        <w:jc w:val="both"/>
        <w:rPr>
          <w:sz w:val="20"/>
          <w:szCs w:val="20"/>
        </w:rPr>
      </w:pPr>
      <w:r w:rsidRPr="00A901C0">
        <w:rPr>
          <w:sz w:val="20"/>
          <w:szCs w:val="20"/>
        </w:rPr>
        <w:t>II – a inviolabilidade de seu escritório ou local de trabalho, bem como de seus instrumentos de trabalho, de sua correspondência escrita, eletrônica, telefônica e telemática, desde que relativas ao exercício da advocacia</w:t>
      </w:r>
    </w:p>
    <w:p w:rsidR="00A901C0" w:rsidRPr="00C73E73" w:rsidRDefault="00A901C0" w:rsidP="00C73E73">
      <w:pPr>
        <w:spacing w:after="0" w:line="276" w:lineRule="auto"/>
        <w:jc w:val="both"/>
        <w:rPr>
          <w:sz w:val="20"/>
          <w:szCs w:val="20"/>
        </w:rPr>
      </w:pPr>
      <w:r w:rsidRPr="00A901C0">
        <w:rPr>
          <w:sz w:val="20"/>
          <w:szCs w:val="20"/>
        </w:rPr>
        <w:t>III - comunicar-se com seus clientes, pessoal e reservadamente, mesmo sem procuração, quando estes se acharem presos, detidos ou recolhidos em estabelecimentos civis ou militares, ainda que considerados incomunicáveis</w:t>
      </w:r>
      <w:r w:rsidR="00C73E73">
        <w:rPr>
          <w:sz w:val="20"/>
          <w:szCs w:val="20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184"/>
    <w:multiLevelType w:val="hybridMultilevel"/>
    <w:tmpl w:val="8C58B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73F3"/>
    <w:multiLevelType w:val="hybridMultilevel"/>
    <w:tmpl w:val="0644AD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D5A"/>
    <w:multiLevelType w:val="hybridMultilevel"/>
    <w:tmpl w:val="AE1C08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1EE1"/>
    <w:multiLevelType w:val="hybridMultilevel"/>
    <w:tmpl w:val="641C0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9A2"/>
    <w:multiLevelType w:val="hybridMultilevel"/>
    <w:tmpl w:val="452E7D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B2400"/>
    <w:multiLevelType w:val="multilevel"/>
    <w:tmpl w:val="43B0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38"/>
    <w:rsid w:val="0004496F"/>
    <w:rsid w:val="00047916"/>
    <w:rsid w:val="00060F74"/>
    <w:rsid w:val="00071F7A"/>
    <w:rsid w:val="000831AE"/>
    <w:rsid w:val="000A2FAC"/>
    <w:rsid w:val="000D75FA"/>
    <w:rsid w:val="000D7901"/>
    <w:rsid w:val="000F28C4"/>
    <w:rsid w:val="001643C1"/>
    <w:rsid w:val="001961E7"/>
    <w:rsid w:val="00197CAC"/>
    <w:rsid w:val="001B3953"/>
    <w:rsid w:val="001C19DA"/>
    <w:rsid w:val="001D27F1"/>
    <w:rsid w:val="001F2CE6"/>
    <w:rsid w:val="002005A0"/>
    <w:rsid w:val="00210CA8"/>
    <w:rsid w:val="002328F2"/>
    <w:rsid w:val="0025508B"/>
    <w:rsid w:val="0026667A"/>
    <w:rsid w:val="0029733C"/>
    <w:rsid w:val="002A6127"/>
    <w:rsid w:val="002E3677"/>
    <w:rsid w:val="00326EA8"/>
    <w:rsid w:val="00330374"/>
    <w:rsid w:val="00366359"/>
    <w:rsid w:val="003A02B9"/>
    <w:rsid w:val="003E494D"/>
    <w:rsid w:val="003F5CE1"/>
    <w:rsid w:val="00462A62"/>
    <w:rsid w:val="00495325"/>
    <w:rsid w:val="004B04FE"/>
    <w:rsid w:val="004E3A96"/>
    <w:rsid w:val="00501B18"/>
    <w:rsid w:val="00513AC0"/>
    <w:rsid w:val="00546F6C"/>
    <w:rsid w:val="00561B48"/>
    <w:rsid w:val="00567CF5"/>
    <w:rsid w:val="00586068"/>
    <w:rsid w:val="00592269"/>
    <w:rsid w:val="005B0321"/>
    <w:rsid w:val="005D22AC"/>
    <w:rsid w:val="005E04A6"/>
    <w:rsid w:val="005E1CE4"/>
    <w:rsid w:val="00657A79"/>
    <w:rsid w:val="00676EEE"/>
    <w:rsid w:val="00682B06"/>
    <w:rsid w:val="006A4E21"/>
    <w:rsid w:val="006B2C3D"/>
    <w:rsid w:val="00710949"/>
    <w:rsid w:val="00722955"/>
    <w:rsid w:val="00733739"/>
    <w:rsid w:val="00755E7A"/>
    <w:rsid w:val="0077582A"/>
    <w:rsid w:val="00783314"/>
    <w:rsid w:val="00794CA6"/>
    <w:rsid w:val="007A2728"/>
    <w:rsid w:val="007A412A"/>
    <w:rsid w:val="007A75C4"/>
    <w:rsid w:val="007B3688"/>
    <w:rsid w:val="007B7274"/>
    <w:rsid w:val="007D10A0"/>
    <w:rsid w:val="007D2A34"/>
    <w:rsid w:val="0081366D"/>
    <w:rsid w:val="00816F59"/>
    <w:rsid w:val="008548C8"/>
    <w:rsid w:val="00856699"/>
    <w:rsid w:val="008B5399"/>
    <w:rsid w:val="008D0CC2"/>
    <w:rsid w:val="008F191D"/>
    <w:rsid w:val="00911945"/>
    <w:rsid w:val="009C3AC0"/>
    <w:rsid w:val="009E55A1"/>
    <w:rsid w:val="00A360BC"/>
    <w:rsid w:val="00A403B3"/>
    <w:rsid w:val="00A479B1"/>
    <w:rsid w:val="00A57D80"/>
    <w:rsid w:val="00A852D4"/>
    <w:rsid w:val="00A901C0"/>
    <w:rsid w:val="00AB07B4"/>
    <w:rsid w:val="00AC13A0"/>
    <w:rsid w:val="00AC6445"/>
    <w:rsid w:val="00AE28A5"/>
    <w:rsid w:val="00B0142F"/>
    <w:rsid w:val="00B12F53"/>
    <w:rsid w:val="00B305AC"/>
    <w:rsid w:val="00B32F9F"/>
    <w:rsid w:val="00BA647F"/>
    <w:rsid w:val="00BA6A71"/>
    <w:rsid w:val="00BB1D59"/>
    <w:rsid w:val="00BD0387"/>
    <w:rsid w:val="00BF56E9"/>
    <w:rsid w:val="00C101B8"/>
    <w:rsid w:val="00C215BA"/>
    <w:rsid w:val="00C25BDF"/>
    <w:rsid w:val="00C438E3"/>
    <w:rsid w:val="00C73E73"/>
    <w:rsid w:val="00CB1AA6"/>
    <w:rsid w:val="00CB2B3C"/>
    <w:rsid w:val="00CE7689"/>
    <w:rsid w:val="00D00AA3"/>
    <w:rsid w:val="00D34C7D"/>
    <w:rsid w:val="00D51473"/>
    <w:rsid w:val="00D56785"/>
    <w:rsid w:val="00DA01BB"/>
    <w:rsid w:val="00DB051F"/>
    <w:rsid w:val="00DB5538"/>
    <w:rsid w:val="00DC349A"/>
    <w:rsid w:val="00DE0654"/>
    <w:rsid w:val="00DE5354"/>
    <w:rsid w:val="00E05CE1"/>
    <w:rsid w:val="00E06C10"/>
    <w:rsid w:val="00E4409A"/>
    <w:rsid w:val="00E54A4E"/>
    <w:rsid w:val="00E57243"/>
    <w:rsid w:val="00E6679F"/>
    <w:rsid w:val="00EA40CB"/>
    <w:rsid w:val="00ED33B9"/>
    <w:rsid w:val="00EF4CD4"/>
    <w:rsid w:val="00F46DC3"/>
    <w:rsid w:val="00F554EC"/>
    <w:rsid w:val="00F56E69"/>
    <w:rsid w:val="00FA1CBA"/>
    <w:rsid w:val="00FA314D"/>
    <w:rsid w:val="00FF4400"/>
    <w:rsid w:val="00FF686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9744-44F5-4119-8C20-2B8ADA6B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04A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1B18"/>
    <w:pPr>
      <w:ind w:left="720"/>
      <w:contextualSpacing/>
    </w:pPr>
  </w:style>
  <w:style w:type="paragraph" w:customStyle="1" w:styleId="artigo">
    <w:name w:val="artigo"/>
    <w:basedOn w:val="Normal"/>
    <w:rsid w:val="0081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1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1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VALLISNEY OLIVEIRA</cp:lastModifiedBy>
  <cp:revision>2</cp:revision>
  <dcterms:created xsi:type="dcterms:W3CDTF">2017-10-18T09:27:00Z</dcterms:created>
  <dcterms:modified xsi:type="dcterms:W3CDTF">2017-10-18T09:27:00Z</dcterms:modified>
</cp:coreProperties>
</file>