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F" w:rsidRPr="008657F7" w:rsidRDefault="00F2151F" w:rsidP="008657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57F7">
        <w:rPr>
          <w:rFonts w:ascii="Arial" w:hAnsi="Arial" w:cs="Arial"/>
          <w:b/>
          <w:sz w:val="24"/>
          <w:szCs w:val="24"/>
        </w:rPr>
        <w:t>Universidade de Brasília</w:t>
      </w:r>
    </w:p>
    <w:p w:rsidR="00F2151F" w:rsidRPr="008657F7" w:rsidRDefault="00F2151F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>Anderson Silva de Oliveira – 14/0167561</w:t>
      </w:r>
    </w:p>
    <w:p w:rsidR="00F2151F" w:rsidRPr="008657F7" w:rsidRDefault="008657F7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>Carlos Alberto Rabelo Aguiar</w:t>
      </w:r>
      <w:r w:rsidR="0080457C">
        <w:rPr>
          <w:rFonts w:ascii="Arial" w:hAnsi="Arial" w:cs="Arial"/>
          <w:sz w:val="24"/>
          <w:szCs w:val="24"/>
        </w:rPr>
        <w:t xml:space="preserve"> – 14/0018042</w:t>
      </w:r>
    </w:p>
    <w:p w:rsidR="008657F7" w:rsidRPr="008657F7" w:rsidRDefault="008657F7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>Teoria Geral do Processo 2 – Roteiro</w:t>
      </w:r>
    </w:p>
    <w:p w:rsidR="008657F7" w:rsidRPr="008657F7" w:rsidRDefault="008657F7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 xml:space="preserve">Honorários Advocatícios </w:t>
      </w:r>
    </w:p>
    <w:p w:rsidR="008657F7" w:rsidRPr="008657F7" w:rsidRDefault="008657F7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7F7" w:rsidRPr="008657F7" w:rsidRDefault="008657F7" w:rsidP="008657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>Introdução: Natureza Alimentar dos Honorários</w:t>
      </w:r>
    </w:p>
    <w:p w:rsidR="008657F7" w:rsidRPr="008657F7" w:rsidRDefault="008657F7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7F7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 xml:space="preserve">     Os honorários advocatícios constituem, de modo geral, a contraprestação dos serviços jurídicos prestados pelo advogado no decurso no processo. São os honorários direito privativo do advogado. Conforme a redação dos artigos 23 e 24 da lei do estatuto da OAB, uma vez prolatada a sentença o advogado tem o direito autônomo (independente do direito assegurado ao ass</w:t>
      </w:r>
      <w:r>
        <w:rPr>
          <w:rFonts w:ascii="Arial" w:hAnsi="Arial" w:cs="Arial"/>
          <w:sz w:val="24"/>
          <w:szCs w:val="24"/>
        </w:rPr>
        <w:t xml:space="preserve">istido) </w:t>
      </w:r>
      <w:r w:rsidR="009261CE">
        <w:rPr>
          <w:rFonts w:ascii="Arial" w:hAnsi="Arial" w:cs="Arial"/>
          <w:sz w:val="24"/>
          <w:szCs w:val="24"/>
        </w:rPr>
        <w:t>a perceber os honorários</w:t>
      </w:r>
      <w:r w:rsidRPr="008657F7">
        <w:rPr>
          <w:rFonts w:ascii="Arial" w:hAnsi="Arial" w:cs="Arial"/>
          <w:sz w:val="24"/>
          <w:szCs w:val="24"/>
        </w:rPr>
        <w:t xml:space="preserve">. Ou seja, o advogado pode levar a cabo um processo de execução com base apenas nos honorários </w:t>
      </w:r>
      <w:r>
        <w:rPr>
          <w:rFonts w:ascii="Arial" w:hAnsi="Arial" w:cs="Arial"/>
          <w:sz w:val="24"/>
          <w:szCs w:val="24"/>
        </w:rPr>
        <w:t>arbitrados</w:t>
      </w:r>
      <w:r w:rsidRPr="008657F7">
        <w:rPr>
          <w:rFonts w:ascii="Arial" w:hAnsi="Arial" w:cs="Arial"/>
          <w:sz w:val="24"/>
          <w:szCs w:val="24"/>
        </w:rPr>
        <w:t xml:space="preserve"> na sentença. A sentença que fixa honorários sucumbenciais e o contrato pactuado com a parte representada são tít</w:t>
      </w:r>
      <w:r w:rsidR="009261CE">
        <w:rPr>
          <w:rFonts w:ascii="Arial" w:hAnsi="Arial" w:cs="Arial"/>
          <w:sz w:val="24"/>
          <w:szCs w:val="24"/>
        </w:rPr>
        <w:t>ulos executivos hábeis para o ingresso na execução</w:t>
      </w:r>
      <w:r w:rsidRPr="008657F7">
        <w:rPr>
          <w:rFonts w:ascii="Arial" w:hAnsi="Arial" w:cs="Arial"/>
          <w:sz w:val="24"/>
          <w:szCs w:val="24"/>
        </w:rPr>
        <w:t>.</w:t>
      </w:r>
    </w:p>
    <w:p w:rsidR="008657F7" w:rsidRPr="008657F7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8657F7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 xml:space="preserve">     Desde o julgamento do paradigmático RE nº 146318/SP,</w:t>
      </w:r>
      <w:r w:rsidR="009261CE">
        <w:rPr>
          <w:rFonts w:ascii="Arial" w:hAnsi="Arial" w:cs="Arial"/>
          <w:sz w:val="24"/>
          <w:szCs w:val="24"/>
        </w:rPr>
        <w:t xml:space="preserve"> concebe-se que os honorários tê</w:t>
      </w:r>
      <w:r w:rsidRPr="008657F7">
        <w:rPr>
          <w:rFonts w:ascii="Arial" w:hAnsi="Arial" w:cs="Arial"/>
          <w:sz w:val="24"/>
          <w:szCs w:val="24"/>
        </w:rPr>
        <w:t>m natureza alimentar.</w:t>
      </w:r>
      <w:r w:rsidR="009261CE">
        <w:rPr>
          <w:rFonts w:ascii="Arial" w:hAnsi="Arial" w:cs="Arial"/>
          <w:sz w:val="24"/>
          <w:szCs w:val="24"/>
        </w:rPr>
        <w:t xml:space="preserve"> Outrora, os honorários tinham o tratamento jurídico de despesa processual. No atual CPC o entendimento segue o precedente citado do STF, especificamente</w:t>
      </w:r>
      <w:r w:rsidR="00293034">
        <w:rPr>
          <w:rFonts w:ascii="Arial" w:hAnsi="Arial" w:cs="Arial"/>
          <w:sz w:val="24"/>
          <w:szCs w:val="24"/>
        </w:rPr>
        <w:t xml:space="preserve"> positivado</w:t>
      </w:r>
      <w:r w:rsidR="009261CE">
        <w:rPr>
          <w:rFonts w:ascii="Arial" w:hAnsi="Arial" w:cs="Arial"/>
          <w:sz w:val="24"/>
          <w:szCs w:val="24"/>
        </w:rPr>
        <w:t xml:space="preserve"> no art. 85, §4º. Vale acrescentar</w:t>
      </w:r>
      <w:r w:rsidRPr="008657F7">
        <w:rPr>
          <w:rFonts w:ascii="Arial" w:hAnsi="Arial" w:cs="Arial"/>
          <w:sz w:val="24"/>
          <w:szCs w:val="24"/>
        </w:rPr>
        <w:t xml:space="preserve"> q</w:t>
      </w:r>
      <w:r w:rsidR="009261CE">
        <w:rPr>
          <w:rFonts w:ascii="Arial" w:hAnsi="Arial" w:cs="Arial"/>
          <w:sz w:val="24"/>
          <w:szCs w:val="24"/>
        </w:rPr>
        <w:t>ue os honorários advocatícios tê</w:t>
      </w:r>
      <w:r w:rsidRPr="008657F7">
        <w:rPr>
          <w:rFonts w:ascii="Arial" w:hAnsi="Arial" w:cs="Arial"/>
          <w:sz w:val="24"/>
          <w:szCs w:val="24"/>
        </w:rPr>
        <w:t>m o mesmo prestígio</w:t>
      </w:r>
      <w:r w:rsidR="009261CE">
        <w:rPr>
          <w:rFonts w:ascii="Arial" w:hAnsi="Arial" w:cs="Arial"/>
          <w:sz w:val="24"/>
          <w:szCs w:val="24"/>
        </w:rPr>
        <w:t xml:space="preserve"> jurídico</w:t>
      </w:r>
      <w:r w:rsidRPr="008657F7">
        <w:rPr>
          <w:rFonts w:ascii="Arial" w:hAnsi="Arial" w:cs="Arial"/>
          <w:sz w:val="24"/>
          <w:szCs w:val="24"/>
        </w:rPr>
        <w:t xml:space="preserve"> dos créditos trabalhistas em concurso de credores.</w:t>
      </w:r>
    </w:p>
    <w:p w:rsidR="008657F7" w:rsidRPr="008657F7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8657F7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 xml:space="preserve">     Questão interessante sobre a natureza dos honorários é se, na execução, os honorários podem concorrer em prejuízo do direito assegurado ao assistido. Segundo o precedente definido no </w:t>
      </w:r>
      <w:proofErr w:type="spellStart"/>
      <w:r w:rsidRPr="008657F7">
        <w:rPr>
          <w:rFonts w:ascii="Arial" w:hAnsi="Arial" w:cs="Arial"/>
          <w:sz w:val="24"/>
          <w:szCs w:val="24"/>
        </w:rPr>
        <w:t>REsp</w:t>
      </w:r>
      <w:proofErr w:type="spellEnd"/>
      <w:r w:rsidRPr="008657F7">
        <w:rPr>
          <w:rFonts w:ascii="Arial" w:hAnsi="Arial" w:cs="Arial"/>
          <w:sz w:val="24"/>
          <w:szCs w:val="24"/>
        </w:rPr>
        <w:t xml:space="preserve"> 706.331, não. Isto porque, nos termos do ministro João Otávio Noronha, haveria desvio ético no privilégio dos honorários pois a lei opera para resguardar primeiro o direito cujo o conhecimento pleiteia-se em juízo.   </w:t>
      </w:r>
    </w:p>
    <w:p w:rsidR="008657F7" w:rsidRPr="008657F7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8659DA" w:rsidRDefault="008657F7" w:rsidP="008657F7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8657F7">
        <w:rPr>
          <w:rFonts w:ascii="Arial" w:hAnsi="Arial" w:cs="Arial"/>
          <w:sz w:val="24"/>
          <w:szCs w:val="24"/>
        </w:rPr>
        <w:t xml:space="preserve">     </w:t>
      </w:r>
    </w:p>
    <w:p w:rsidR="008659DA" w:rsidRDefault="008659DA" w:rsidP="006D7C95">
      <w:pPr>
        <w:spacing w:after="0" w:line="360" w:lineRule="auto"/>
        <w:ind w:left="360" w:firstLine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Tanto os advogados privados quanto os públicos podem receber honorários sucumbência. A fixação</w:t>
      </w:r>
      <w:r w:rsidR="006D7C95">
        <w:rPr>
          <w:rFonts w:ascii="Arial" w:hAnsi="Arial" w:cs="Arial"/>
          <w:sz w:val="24"/>
          <w:szCs w:val="24"/>
        </w:rPr>
        <w:t>, no que tange o limite quantitativo,</w:t>
      </w:r>
      <w:r>
        <w:rPr>
          <w:rFonts w:ascii="Arial" w:hAnsi="Arial" w:cs="Arial"/>
          <w:sz w:val="24"/>
          <w:szCs w:val="24"/>
        </w:rPr>
        <w:t xml:space="preserve"> para os primeiros pode oscilar entre 10% a 20% do valor auferido, ou inicialmente estipulado, para a causa. </w:t>
      </w:r>
      <w:r w:rsidR="006D7C95">
        <w:rPr>
          <w:rFonts w:ascii="Arial" w:hAnsi="Arial" w:cs="Arial"/>
          <w:sz w:val="24"/>
          <w:szCs w:val="24"/>
        </w:rPr>
        <w:t xml:space="preserve">Observará o juiz, também, os limites qualitativos dispostos no §2º do art. 85, como o grau de zelo do profissional e o local da prestação dos serviços. Entretanto, nas causas cujo o valor aproveitado seja irrisório, o juiz poderá fixar os honorários apenas com base nos limites qualitativos. </w:t>
      </w:r>
      <w:r>
        <w:rPr>
          <w:rFonts w:ascii="Arial" w:hAnsi="Arial" w:cs="Arial"/>
          <w:sz w:val="24"/>
          <w:szCs w:val="24"/>
        </w:rPr>
        <w:t>Por seu turno, os procuradores do estado</w:t>
      </w:r>
      <w:r w:rsidR="006D7C95">
        <w:rPr>
          <w:rFonts w:ascii="Arial" w:hAnsi="Arial" w:cs="Arial"/>
          <w:sz w:val="24"/>
          <w:szCs w:val="24"/>
        </w:rPr>
        <w:t>, submetidos aos mesmos limites qualitativos,</w:t>
      </w:r>
      <w:r>
        <w:rPr>
          <w:rFonts w:ascii="Arial" w:hAnsi="Arial" w:cs="Arial"/>
          <w:sz w:val="24"/>
          <w:szCs w:val="24"/>
        </w:rPr>
        <w:t xml:space="preserve"> percebem honorários nas faixas </w:t>
      </w:r>
      <w:r w:rsidR="00286D42">
        <w:rPr>
          <w:rFonts w:ascii="Arial" w:hAnsi="Arial" w:cs="Arial"/>
          <w:sz w:val="24"/>
          <w:szCs w:val="24"/>
        </w:rPr>
        <w:t xml:space="preserve">percentuais </w:t>
      </w:r>
      <w:r>
        <w:rPr>
          <w:rFonts w:ascii="Arial" w:hAnsi="Arial" w:cs="Arial"/>
          <w:sz w:val="24"/>
          <w:szCs w:val="24"/>
        </w:rPr>
        <w:t>previstas no art. 85 §3º, as quais diminuem à medida que aumenta o valor da condenação.</w:t>
      </w:r>
    </w:p>
    <w:p w:rsidR="00293034" w:rsidRDefault="00293034" w:rsidP="002930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7C95" w:rsidRDefault="006D7C95" w:rsidP="006D7C95">
      <w:pPr>
        <w:spacing w:after="0" w:line="360" w:lineRule="auto"/>
        <w:ind w:left="360" w:firstLine="774"/>
        <w:jc w:val="both"/>
        <w:rPr>
          <w:rFonts w:ascii="Arial" w:hAnsi="Arial" w:cs="Arial"/>
          <w:sz w:val="24"/>
          <w:szCs w:val="24"/>
        </w:rPr>
      </w:pPr>
    </w:p>
    <w:p w:rsidR="006D7C95" w:rsidRDefault="006D7C95" w:rsidP="006D7C95">
      <w:pPr>
        <w:spacing w:after="0" w:line="360" w:lineRule="auto"/>
        <w:ind w:left="360" w:firstLine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Cumulam-se os </w:t>
      </w:r>
      <w:r w:rsidR="0045410A">
        <w:rPr>
          <w:rFonts w:ascii="Arial" w:hAnsi="Arial" w:cs="Arial"/>
          <w:sz w:val="24"/>
          <w:szCs w:val="24"/>
        </w:rPr>
        <w:t xml:space="preserve">honorários definidos em primeira instância com os demais determinados pelos tribunais recursais. A cumulação deve respeitar os limites quantitativos e qualitativos previstos nos §§ 2º e 3º do art. 85. Ademais cumpre ao juiz sopesar este direito do advogado com o acesso ao duplo grau de jurisdição e a possibilidade de enriquecimento ilícito do causídico. Este entendimento tem lastro na jurisprudência consolidada no </w:t>
      </w:r>
      <w:proofErr w:type="spellStart"/>
      <w:r w:rsidR="0045410A">
        <w:rPr>
          <w:rFonts w:ascii="Arial" w:hAnsi="Arial" w:cs="Arial"/>
          <w:sz w:val="24"/>
          <w:szCs w:val="24"/>
        </w:rPr>
        <w:t>AREsp</w:t>
      </w:r>
      <w:proofErr w:type="spellEnd"/>
      <w:r w:rsidR="0045410A">
        <w:rPr>
          <w:rFonts w:ascii="Arial" w:hAnsi="Arial" w:cs="Arial"/>
          <w:sz w:val="24"/>
          <w:szCs w:val="24"/>
        </w:rPr>
        <w:t xml:space="preserve"> 370.579/RJ. </w:t>
      </w:r>
    </w:p>
    <w:p w:rsidR="008659DA" w:rsidRDefault="008659DA" w:rsidP="008659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0457C" w:rsidRDefault="0045410A" w:rsidP="0080457C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a</w:t>
      </w:r>
      <w:r w:rsidR="008657F7" w:rsidRPr="008657F7">
        <w:rPr>
          <w:rFonts w:ascii="Arial" w:hAnsi="Arial" w:cs="Arial"/>
          <w:sz w:val="24"/>
          <w:szCs w:val="24"/>
        </w:rPr>
        <w:t xml:space="preserve"> fixação dos honorários contratuais deve observar o limite mínimo estabelecido na tabela de honorários divulgada pela OAB. De acordo com o código de ética da OAB, a cobrança abaixo da tabela constitui prática de concorrência desleal pois haveria, nos termos do art. 39 do código, a "captação de clientes". Adicionalmente, o código atribui a esta conduta o caráter de infração disciplinar, punível com multa, censura, suspensão ou até exclusão. O art. 41 do código acrescenta que a observânci</w:t>
      </w:r>
      <w:r w:rsidR="00097EAB">
        <w:rPr>
          <w:rFonts w:ascii="Arial" w:hAnsi="Arial" w:cs="Arial"/>
          <w:sz w:val="24"/>
          <w:szCs w:val="24"/>
        </w:rPr>
        <w:t>a dos valores mínimos contribui</w:t>
      </w:r>
      <w:r w:rsidR="008657F7" w:rsidRPr="008657F7">
        <w:rPr>
          <w:rFonts w:ascii="Arial" w:hAnsi="Arial" w:cs="Arial"/>
          <w:sz w:val="24"/>
          <w:szCs w:val="24"/>
        </w:rPr>
        <w:t xml:space="preserve"> para evitar o aviltamento dos valores profissionais</w:t>
      </w:r>
      <w:r w:rsidR="00293034">
        <w:rPr>
          <w:rFonts w:ascii="Arial" w:hAnsi="Arial" w:cs="Arial"/>
          <w:sz w:val="24"/>
          <w:szCs w:val="24"/>
        </w:rPr>
        <w:t xml:space="preserve"> da advocacia</w:t>
      </w:r>
      <w:r w:rsidR="008657F7" w:rsidRPr="008657F7">
        <w:rPr>
          <w:rFonts w:ascii="Arial" w:hAnsi="Arial" w:cs="Arial"/>
          <w:sz w:val="24"/>
          <w:szCs w:val="24"/>
        </w:rPr>
        <w:t xml:space="preserve">. Excetua-se </w:t>
      </w:r>
      <w:r w:rsidR="00293034">
        <w:rPr>
          <w:rFonts w:ascii="Arial" w:hAnsi="Arial" w:cs="Arial"/>
          <w:sz w:val="24"/>
          <w:szCs w:val="24"/>
        </w:rPr>
        <w:t xml:space="preserve">destas previsões </w:t>
      </w:r>
      <w:r w:rsidR="008657F7" w:rsidRPr="008657F7">
        <w:rPr>
          <w:rFonts w:ascii="Arial" w:hAnsi="Arial" w:cs="Arial"/>
          <w:sz w:val="24"/>
          <w:szCs w:val="24"/>
        </w:rPr>
        <w:t>a hipótese de assistência de pessoas mais carentes.</w:t>
      </w:r>
    </w:p>
    <w:p w:rsidR="0080457C" w:rsidRDefault="0080457C" w:rsidP="0080457C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80457C" w:rsidRDefault="0080457C" w:rsidP="0080457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Classificação dos Honorários à luz do CPC 2015</w:t>
      </w:r>
    </w:p>
    <w:p w:rsidR="00113E08" w:rsidRDefault="00113E08" w:rsidP="0080457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457C" w:rsidRDefault="00113E08" w:rsidP="00113E08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os gastos necessários que a parte faz no processo fig</w:t>
      </w:r>
      <w:r w:rsidR="00946B0A">
        <w:rPr>
          <w:rFonts w:ascii="Arial" w:hAnsi="Arial" w:cs="Arial"/>
          <w:sz w:val="24"/>
          <w:szCs w:val="24"/>
        </w:rPr>
        <w:t xml:space="preserve">uram os honorários pagos a seu advogado. Em sentido amplo, são uma espécie do </w:t>
      </w:r>
      <w:r w:rsidR="00946B0A">
        <w:rPr>
          <w:rFonts w:ascii="Arial" w:hAnsi="Arial" w:cs="Arial"/>
          <w:sz w:val="24"/>
          <w:szCs w:val="24"/>
        </w:rPr>
        <w:lastRenderedPageBreak/>
        <w:t xml:space="preserve">gênero “despesas processuais”.  </w:t>
      </w:r>
      <w:r w:rsidR="00903024">
        <w:rPr>
          <w:rFonts w:ascii="Arial" w:hAnsi="Arial" w:cs="Arial"/>
          <w:sz w:val="24"/>
          <w:szCs w:val="24"/>
        </w:rPr>
        <w:t xml:space="preserve">Mas o código, em matéria sucumbencial, reserva um tratamento especial para a verba advocatícia. </w:t>
      </w:r>
    </w:p>
    <w:p w:rsidR="00903024" w:rsidRDefault="00903024" w:rsidP="0090302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a sentença, ao encerrar o processo, é que resolverá a questão dos honorários, salvo na execução e no cumprimento de sentença, quando é tratada em decisão interlocutória (</w:t>
      </w:r>
      <w:proofErr w:type="spellStart"/>
      <w:r>
        <w:rPr>
          <w:rFonts w:ascii="Arial" w:hAnsi="Arial" w:cs="Arial"/>
          <w:sz w:val="24"/>
          <w:szCs w:val="24"/>
        </w:rPr>
        <w:t>cpc</w:t>
      </w:r>
      <w:proofErr w:type="spellEnd"/>
      <w:r>
        <w:rPr>
          <w:rFonts w:ascii="Arial" w:hAnsi="Arial" w:cs="Arial"/>
          <w:sz w:val="24"/>
          <w:szCs w:val="24"/>
        </w:rPr>
        <w:t xml:space="preserve"> 2015, art. 85, § 1º, e 827, caput).</w:t>
      </w:r>
    </w:p>
    <w:p w:rsidR="00903024" w:rsidRDefault="00903024" w:rsidP="0090302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honorários de sucumbência não revertem para a parte vencedora, mas “constituem direito do advogado e têm natureza alimentar, com os mesmos privilégios dos créditos oriundos da legislação do trabalho”. </w:t>
      </w:r>
      <w:bookmarkStart w:id="0" w:name="_Hlk496046851"/>
      <w:r w:rsidR="00853FE6">
        <w:rPr>
          <w:rFonts w:ascii="Arial" w:hAnsi="Arial" w:cs="Arial"/>
          <w:sz w:val="24"/>
          <w:szCs w:val="24"/>
        </w:rPr>
        <w:t>Trata-se de remuneração direta ao advogado do vencedor, como esclarece o novo código, “direito do advogado”, tendo, legalmente, “natureza alimentar” (art. 85, § 14º).</w:t>
      </w:r>
      <w:bookmarkEnd w:id="0"/>
      <w:r w:rsidR="00853FE6">
        <w:rPr>
          <w:rFonts w:ascii="Arial" w:hAnsi="Arial" w:cs="Arial"/>
          <w:sz w:val="24"/>
          <w:szCs w:val="24"/>
        </w:rPr>
        <w:t xml:space="preserve"> </w:t>
      </w:r>
    </w:p>
    <w:p w:rsidR="003F4D32" w:rsidRDefault="003F4D32" w:rsidP="003F4D32">
      <w:pPr>
        <w:pStyle w:val="PargrafodaLista"/>
        <w:spacing w:after="0" w:line="360" w:lineRule="auto"/>
        <w:ind w:left="1776"/>
        <w:jc w:val="both"/>
        <w:rPr>
          <w:rFonts w:ascii="Arial" w:hAnsi="Arial" w:cs="Arial"/>
          <w:sz w:val="24"/>
          <w:szCs w:val="24"/>
        </w:rPr>
      </w:pPr>
    </w:p>
    <w:p w:rsidR="003F4D32" w:rsidRDefault="003F4D32" w:rsidP="003F4D32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honorários convencionais</w:t>
      </w:r>
    </w:p>
    <w:p w:rsidR="00853FE6" w:rsidRDefault="003F4D32" w:rsidP="003F4D32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F4D32" w:rsidRDefault="003F4D32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São arbitrados em acordo entre o advogado e o seu cliente. Essa contratação visa a garantia do alcance da tutela jurisdicional e corresponde, segundo entendimento do STJ, o CC, ao regular a reparação de perdas e danos, inclui expressamente no respectivo montante os gastos com honorários de advogado (CC, </w:t>
      </w:r>
      <w:proofErr w:type="spellStart"/>
      <w:r>
        <w:rPr>
          <w:rFonts w:ascii="Arial" w:hAnsi="Arial" w:cs="Arial"/>
          <w:sz w:val="24"/>
          <w:szCs w:val="24"/>
        </w:rPr>
        <w:t>arts</w:t>
      </w:r>
      <w:proofErr w:type="spellEnd"/>
      <w:r>
        <w:rPr>
          <w:rFonts w:ascii="Arial" w:hAnsi="Arial" w:cs="Arial"/>
          <w:sz w:val="24"/>
          <w:szCs w:val="24"/>
        </w:rPr>
        <w:t xml:space="preserve">. 389, 395 e 404). Por fim, o STJ afirma que o valor dos honorários convencionais a integrar perdas e danos não pode ser abusivo.  O juiz poderá analisar o caso em concreto e arbitrar outro valor com base na tabela de honorários da Ordem dos Advogados do Brasil. </w:t>
      </w:r>
    </w:p>
    <w:p w:rsidR="000555BC" w:rsidRDefault="000555BC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F4D32" w:rsidRDefault="003F4D32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Dos honorários de sucumbência </w:t>
      </w:r>
    </w:p>
    <w:p w:rsidR="000555BC" w:rsidRDefault="000555BC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A6B59" w:rsidRDefault="000555BC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regra legal traçada para a sucumbência, é a de que “a sentença condenará o vencido a pagar honorários ao advogado do vencedor” (art. 85). Trata-se de remuneração direta ao advogado do vencedor, como esclarece o novo código, “direito do advogado”, tendo, legalmente, “natureza alimentar” (art. 85, § 14º). </w:t>
      </w:r>
    </w:p>
    <w:p w:rsidR="003F4D32" w:rsidRDefault="009A6B59" w:rsidP="009A6B59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a leitura do § 2º, do art. 85 do CPC de 2015, “</w:t>
      </w:r>
      <w:r w:rsidRPr="009A6B59">
        <w:rPr>
          <w:rFonts w:ascii="Arial" w:hAnsi="Arial" w:cs="Arial"/>
          <w:sz w:val="24"/>
          <w:szCs w:val="24"/>
        </w:rPr>
        <w:t xml:space="preserve">Os honorários serão fixados entre o mínimo de dez e o máximo de vinte por cento sobre o valor da condenação, do proveito econômico obtido ou, não sendo possível </w:t>
      </w:r>
      <w:r w:rsidRPr="009A6B59">
        <w:rPr>
          <w:rFonts w:ascii="Arial" w:hAnsi="Arial" w:cs="Arial"/>
          <w:sz w:val="24"/>
          <w:szCs w:val="24"/>
        </w:rPr>
        <w:lastRenderedPageBreak/>
        <w:t>mensurá-lo, sobre o valo</w:t>
      </w:r>
      <w:r>
        <w:rPr>
          <w:rFonts w:ascii="Arial" w:hAnsi="Arial" w:cs="Arial"/>
          <w:sz w:val="24"/>
          <w:szCs w:val="24"/>
        </w:rPr>
        <w:t xml:space="preserve">r atualizado da causa”. </w:t>
      </w:r>
      <w:r w:rsidR="000555BC" w:rsidRPr="000555BC">
        <w:rPr>
          <w:rFonts w:ascii="Arial" w:hAnsi="Arial" w:cs="Arial"/>
          <w:sz w:val="24"/>
          <w:szCs w:val="24"/>
        </w:rPr>
        <w:t>Para mensurar qual porcentagem da condenação o advogado merece receber, o juiz de Direito leva em conta o grau de zelo do profissional, o local de prestação dos serviços, a natureza, importância da causa e tempo gasto pelo advogado. Nas causas de pequeno valor e nas de valor inestimável, bem como naquelas em que não houver condenação ou for vencida a Fazenda Pública, os honorários serão fixados conforme a análise justa do juiz.</w:t>
      </w:r>
      <w:r w:rsidR="000555BC">
        <w:rPr>
          <w:rFonts w:ascii="Arial" w:hAnsi="Arial" w:cs="Arial"/>
          <w:sz w:val="24"/>
          <w:szCs w:val="24"/>
        </w:rPr>
        <w:t xml:space="preserve"> </w:t>
      </w:r>
    </w:p>
    <w:p w:rsidR="000555BC" w:rsidRDefault="000555BC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555BC" w:rsidRDefault="000555BC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Dos honorários arbitrados </w:t>
      </w:r>
    </w:p>
    <w:p w:rsidR="008D0F12" w:rsidRDefault="008D0F12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555BC" w:rsidRDefault="000555BC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55BC">
        <w:rPr>
          <w:rFonts w:ascii="Arial" w:hAnsi="Arial" w:cs="Arial"/>
          <w:sz w:val="24"/>
          <w:szCs w:val="24"/>
        </w:rPr>
        <w:t>Os honorários advocatícios arbitrados judicialmente estão previstos no artigo 22 do Estatuto da Advocacia (Lei n. 8906/94) e são aqueles devidos pelo cliente ao advogado quando não haja estipulação ou acordo quanto à retribuição a se pagar pela prestação do serviço. Ou seja, ele é devido quando, por algum motivo, não foi feito um contrato de honorários entre cliente e advogado ou quando houve desentendimento entre eles com relação ao valor a ser pago, independente de ele ter sido concluído com sucesso ou não. Sendo assim, em caso de desacordo entre as partes, é o juiz quem decidirá quanto o cliente vai pagar ao advogado.</w:t>
      </w:r>
    </w:p>
    <w:p w:rsidR="008D0F12" w:rsidRDefault="008D0F12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D0F12" w:rsidRDefault="008D0F12" w:rsidP="003F4D32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 Bibliográfica</w:t>
      </w:r>
    </w:p>
    <w:p w:rsidR="008D0F12" w:rsidRDefault="008D0F12" w:rsidP="003F4D3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D0F12" w:rsidRPr="008D0F12" w:rsidRDefault="008D0F12" w:rsidP="003F4D32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D0F12">
        <w:rPr>
          <w:rFonts w:ascii="Arial" w:hAnsi="Arial" w:cs="Arial"/>
          <w:sz w:val="20"/>
          <w:szCs w:val="20"/>
        </w:rPr>
        <w:t xml:space="preserve">CAMARGO, Luiz Henrique Volpe e FURTADO, Marcus Vinicius. </w:t>
      </w:r>
      <w:r w:rsidRPr="008D0F12">
        <w:rPr>
          <w:rFonts w:ascii="Arial" w:hAnsi="Arial" w:cs="Arial"/>
          <w:b/>
          <w:sz w:val="20"/>
          <w:szCs w:val="20"/>
        </w:rPr>
        <w:t xml:space="preserve">Coleção grandes temas do novo </w:t>
      </w:r>
      <w:proofErr w:type="spellStart"/>
      <w:r w:rsidRPr="008D0F12">
        <w:rPr>
          <w:rFonts w:ascii="Arial" w:hAnsi="Arial" w:cs="Arial"/>
          <w:b/>
          <w:sz w:val="20"/>
          <w:szCs w:val="20"/>
        </w:rPr>
        <w:t>cpc</w:t>
      </w:r>
      <w:proofErr w:type="spellEnd"/>
      <w:r w:rsidRPr="008D0F12">
        <w:rPr>
          <w:rFonts w:ascii="Arial" w:hAnsi="Arial" w:cs="Arial"/>
          <w:b/>
          <w:sz w:val="20"/>
          <w:szCs w:val="20"/>
        </w:rPr>
        <w:t xml:space="preserve"> - v.2 - honorários advocatícios</w:t>
      </w:r>
      <w:r w:rsidRPr="008D0F12">
        <w:rPr>
          <w:rFonts w:ascii="Arial" w:hAnsi="Arial" w:cs="Arial"/>
          <w:sz w:val="20"/>
          <w:szCs w:val="20"/>
        </w:rPr>
        <w:t xml:space="preserve">. 2ª Edição, 2016. Bahia: Editora </w:t>
      </w:r>
      <w:proofErr w:type="spellStart"/>
      <w:r w:rsidRPr="008D0F12">
        <w:rPr>
          <w:rFonts w:ascii="Arial" w:hAnsi="Arial" w:cs="Arial"/>
          <w:sz w:val="20"/>
          <w:szCs w:val="20"/>
        </w:rPr>
        <w:t>Juspodivm</w:t>
      </w:r>
      <w:proofErr w:type="spellEnd"/>
      <w:r w:rsidRPr="008D0F12">
        <w:rPr>
          <w:rFonts w:ascii="Arial" w:hAnsi="Arial" w:cs="Arial"/>
          <w:sz w:val="20"/>
          <w:szCs w:val="20"/>
        </w:rPr>
        <w:t xml:space="preserve">. </w:t>
      </w:r>
    </w:p>
    <w:p w:rsidR="0080457C" w:rsidRPr="0080457C" w:rsidRDefault="0080457C" w:rsidP="0080457C">
      <w:pPr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4F01AC" w:rsidRPr="008657F7" w:rsidRDefault="004F01AC" w:rsidP="00865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F01AC" w:rsidRPr="008657F7" w:rsidSect="00F2151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577"/>
    <w:multiLevelType w:val="hybridMultilevel"/>
    <w:tmpl w:val="640473C4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7788"/>
    <w:multiLevelType w:val="hybridMultilevel"/>
    <w:tmpl w:val="E21E5A84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76A5"/>
    <w:multiLevelType w:val="hybridMultilevel"/>
    <w:tmpl w:val="D5B0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2504"/>
    <w:multiLevelType w:val="hybridMultilevel"/>
    <w:tmpl w:val="8FFA02BE"/>
    <w:lvl w:ilvl="0" w:tplc="43C2C6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07F0019" w:tentative="1">
      <w:start w:val="1"/>
      <w:numFmt w:val="lowerLetter"/>
      <w:lvlText w:val="%2."/>
      <w:lvlJc w:val="left"/>
      <w:pPr>
        <w:ind w:left="2496" w:hanging="360"/>
      </w:pPr>
    </w:lvl>
    <w:lvl w:ilvl="2" w:tplc="007F001B" w:tentative="1">
      <w:start w:val="1"/>
      <w:numFmt w:val="lowerRoman"/>
      <w:lvlText w:val="%3."/>
      <w:lvlJc w:val="right"/>
      <w:pPr>
        <w:ind w:left="3216" w:hanging="180"/>
      </w:pPr>
    </w:lvl>
    <w:lvl w:ilvl="3" w:tplc="007F000F" w:tentative="1">
      <w:start w:val="1"/>
      <w:numFmt w:val="decimal"/>
      <w:lvlText w:val="%4."/>
      <w:lvlJc w:val="left"/>
      <w:pPr>
        <w:ind w:left="3936" w:hanging="360"/>
      </w:pPr>
    </w:lvl>
    <w:lvl w:ilvl="4" w:tplc="007F0019" w:tentative="1">
      <w:start w:val="1"/>
      <w:numFmt w:val="lowerLetter"/>
      <w:lvlText w:val="%5."/>
      <w:lvlJc w:val="left"/>
      <w:pPr>
        <w:ind w:left="4656" w:hanging="360"/>
      </w:pPr>
    </w:lvl>
    <w:lvl w:ilvl="5" w:tplc="007F001B" w:tentative="1">
      <w:start w:val="1"/>
      <w:numFmt w:val="lowerRoman"/>
      <w:lvlText w:val="%6."/>
      <w:lvlJc w:val="right"/>
      <w:pPr>
        <w:ind w:left="5376" w:hanging="180"/>
      </w:pPr>
    </w:lvl>
    <w:lvl w:ilvl="6" w:tplc="007F000F" w:tentative="1">
      <w:start w:val="1"/>
      <w:numFmt w:val="decimal"/>
      <w:lvlText w:val="%7."/>
      <w:lvlJc w:val="left"/>
      <w:pPr>
        <w:ind w:left="6096" w:hanging="360"/>
      </w:pPr>
    </w:lvl>
    <w:lvl w:ilvl="7" w:tplc="007F0019" w:tentative="1">
      <w:start w:val="1"/>
      <w:numFmt w:val="lowerLetter"/>
      <w:lvlText w:val="%8."/>
      <w:lvlJc w:val="left"/>
      <w:pPr>
        <w:ind w:left="6816" w:hanging="360"/>
      </w:pPr>
    </w:lvl>
    <w:lvl w:ilvl="8" w:tplc="007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D7E21CD"/>
    <w:multiLevelType w:val="hybridMultilevel"/>
    <w:tmpl w:val="B950BF3E"/>
    <w:lvl w:ilvl="0" w:tplc="007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234"/>
    <w:rsid w:val="000555BC"/>
    <w:rsid w:val="00097EAB"/>
    <w:rsid w:val="00113E08"/>
    <w:rsid w:val="001C621E"/>
    <w:rsid w:val="001F6234"/>
    <w:rsid w:val="00286D42"/>
    <w:rsid w:val="00293034"/>
    <w:rsid w:val="003F4D32"/>
    <w:rsid w:val="0045410A"/>
    <w:rsid w:val="004F01AC"/>
    <w:rsid w:val="006D7C95"/>
    <w:rsid w:val="007A2C9F"/>
    <w:rsid w:val="0080457C"/>
    <w:rsid w:val="00853FE6"/>
    <w:rsid w:val="008657F7"/>
    <w:rsid w:val="008659DA"/>
    <w:rsid w:val="008D0F12"/>
    <w:rsid w:val="00903024"/>
    <w:rsid w:val="009261CE"/>
    <w:rsid w:val="00946B0A"/>
    <w:rsid w:val="009A6B59"/>
    <w:rsid w:val="00BC1DAD"/>
    <w:rsid w:val="00F2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Silva</dc:creator>
  <cp:lastModifiedBy>ju65</cp:lastModifiedBy>
  <cp:revision>2</cp:revision>
  <dcterms:created xsi:type="dcterms:W3CDTF">2017-10-19T20:43:00Z</dcterms:created>
  <dcterms:modified xsi:type="dcterms:W3CDTF">2017-10-19T20:43:00Z</dcterms:modified>
</cp:coreProperties>
</file>