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88" w:rsidRDefault="007A23DB" w:rsidP="00C329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de Brasília- Faculdade de Direito</w:t>
      </w:r>
    </w:p>
    <w:p w:rsidR="007A23DB" w:rsidRDefault="007A23DB" w:rsidP="00C32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Geral do Processo II</w:t>
      </w:r>
    </w:p>
    <w:p w:rsidR="007A23DB" w:rsidRDefault="007A23DB" w:rsidP="00C32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Vallisney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Oliveira.</w:t>
      </w:r>
    </w:p>
    <w:p w:rsidR="007A23DB" w:rsidRDefault="007A23DB" w:rsidP="00C32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Al. Fernanda Ribeiro Vasconcelos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Merlo</w:t>
      </w:r>
      <w:proofErr w:type="spellEnd"/>
      <w:r w:rsidR="00C329FA">
        <w:rPr>
          <w:rFonts w:ascii="Times New Roman" w:hAnsi="Times New Roman" w:cs="Times New Roman"/>
          <w:sz w:val="24"/>
          <w:szCs w:val="24"/>
        </w:rPr>
        <w:t xml:space="preserve"> - 140139052</w:t>
      </w:r>
    </w:p>
    <w:p w:rsidR="00C329FA" w:rsidRDefault="00C329FA" w:rsidP="00C32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Resenha sobre o</w:t>
      </w:r>
      <w:r w:rsidR="007A23DB">
        <w:rPr>
          <w:rFonts w:ascii="Times New Roman" w:hAnsi="Times New Roman" w:cs="Times New Roman"/>
          <w:sz w:val="24"/>
          <w:szCs w:val="24"/>
        </w:rPr>
        <w:t xml:space="preserve"> texto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3DB" w:rsidRDefault="007A23DB" w:rsidP="00C32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FA">
        <w:rPr>
          <w:rFonts w:ascii="Times New Roman" w:hAnsi="Times New Roman" w:cs="Times New Roman"/>
          <w:sz w:val="24"/>
          <w:szCs w:val="24"/>
        </w:rPr>
        <w:tab/>
      </w:r>
      <w:r w:rsidR="00C329FA">
        <w:rPr>
          <w:rFonts w:ascii="Times New Roman" w:hAnsi="Times New Roman" w:cs="Times New Roman"/>
          <w:sz w:val="24"/>
          <w:szCs w:val="24"/>
        </w:rPr>
        <w:tab/>
      </w:r>
      <w:r w:rsidR="0033533A">
        <w:rPr>
          <w:rFonts w:ascii="Times New Roman" w:hAnsi="Times New Roman" w:cs="Times New Roman"/>
          <w:sz w:val="24"/>
          <w:szCs w:val="24"/>
        </w:rPr>
        <w:t xml:space="preserve">“Acesso à justiça e modelo multiportas no novo CPC: meios integrados de solução dos conflitos- aprimoramento da conciliação e mediação – negócios processuais”, em JÚNIOR, Teodoro Humberto. Novo CPC- Fundamentos e </w:t>
      </w:r>
      <w:r w:rsidR="00C329FA">
        <w:rPr>
          <w:rFonts w:ascii="Times New Roman" w:hAnsi="Times New Roman" w:cs="Times New Roman"/>
          <w:sz w:val="24"/>
          <w:szCs w:val="24"/>
        </w:rPr>
        <w:t xml:space="preserve">sistematização. 2ª ed. ver., atual. e </w:t>
      </w:r>
      <w:proofErr w:type="spellStart"/>
      <w:r w:rsidR="00C329FA">
        <w:rPr>
          <w:rFonts w:ascii="Times New Roman" w:hAnsi="Times New Roman" w:cs="Times New Roman"/>
          <w:sz w:val="24"/>
          <w:szCs w:val="24"/>
        </w:rPr>
        <w:t>ampl</w:t>
      </w:r>
      <w:proofErr w:type="spellEnd"/>
      <w:r w:rsidR="00C329FA">
        <w:rPr>
          <w:rFonts w:ascii="Times New Roman" w:hAnsi="Times New Roman" w:cs="Times New Roman"/>
          <w:sz w:val="24"/>
          <w:szCs w:val="24"/>
        </w:rPr>
        <w:t>. Rio de Janeiro: Forense, 2015, Capítulo 5.</w:t>
      </w:r>
    </w:p>
    <w:p w:rsidR="002D62F1" w:rsidRPr="002D62F1" w:rsidRDefault="002D62F1" w:rsidP="002D62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F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329FA" w:rsidRDefault="002D62F1" w:rsidP="002D62F1">
      <w:pPr>
        <w:pStyle w:val="PargrafodaList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judiciário brasileiro sofre, em uma intensidade crescente, um fenômeno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hiperjudicialização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indivíduos buscam a resolução de seus conflitos através do sistema, conflitos estes que são, em grande parte, solucionáveis por outros meios menos demandantes de uma organização que já trabalha acima de sua capacidade. O resultado de tal cultura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judicialização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processos cada vez mais longos e ineficientes, incapazes de satisfazer dev</w:t>
      </w:r>
      <w:r w:rsidR="00DE2992">
        <w:rPr>
          <w:rFonts w:ascii="Times New Roman" w:hAnsi="Times New Roman" w:cs="Times New Roman"/>
          <w:sz w:val="24"/>
          <w:szCs w:val="24"/>
        </w:rPr>
        <w:t>idamente o interesse das partes e marcados por um comportamento não cooperativo e agressivo.</w:t>
      </w:r>
    </w:p>
    <w:p w:rsidR="00E926A3" w:rsidRDefault="00E926A3" w:rsidP="002D62F1">
      <w:pPr>
        <w:pStyle w:val="PargrafodaList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buscar uma solução para tal situação eminentemente caótica, o novo CPC 2015 deposita grande confiança em um modelo “multiportas que adota a solução jurisdicional tradicional agregada à absorção de meios alternativos”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Dessa forma, busca-se desafogar a jurisdição formal e tradicional através do reforço de institutos como a mediação, a conciliação, uma audiência inicial voltada à autocomposição e </w:t>
      </w:r>
      <w:r w:rsidR="00136AFF">
        <w:rPr>
          <w:rFonts w:ascii="Times New Roman" w:hAnsi="Times New Roman" w:cs="Times New Roman"/>
          <w:sz w:val="24"/>
          <w:szCs w:val="24"/>
        </w:rPr>
        <w:t>o instituto dos negócios processuais.</w:t>
      </w:r>
    </w:p>
    <w:p w:rsidR="006F5C5F" w:rsidRDefault="006F5C5F" w:rsidP="006F5C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6F5C5F" w:rsidRDefault="006F5C5F" w:rsidP="006F5C5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art. 3º do novo CPC postula que:</w:t>
      </w:r>
    </w:p>
    <w:p w:rsidR="00E44F93" w:rsidRDefault="006F5C5F" w:rsidP="00E44F93">
      <w:pPr>
        <w:pStyle w:val="artigo"/>
        <w:ind w:left="2268" w:hanging="141"/>
        <w:jc w:val="both"/>
        <w:rPr>
          <w:color w:val="000000"/>
          <w:sz w:val="20"/>
          <w:szCs w:val="20"/>
        </w:rPr>
      </w:pPr>
      <w:r w:rsidRPr="006F5C5F">
        <w:rPr>
          <w:color w:val="000000"/>
          <w:sz w:val="20"/>
          <w:szCs w:val="20"/>
        </w:rPr>
        <w:t>Art. 3</w:t>
      </w:r>
      <w:r w:rsidRPr="006F5C5F">
        <w:rPr>
          <w:color w:val="000000"/>
          <w:sz w:val="20"/>
          <w:szCs w:val="20"/>
          <w:u w:val="single"/>
          <w:vertAlign w:val="superscript"/>
        </w:rPr>
        <w:t>o</w:t>
      </w:r>
      <w:r w:rsidRPr="006F5C5F">
        <w:rPr>
          <w:rStyle w:val="apple-converted-space"/>
          <w:color w:val="000000"/>
          <w:sz w:val="20"/>
          <w:szCs w:val="20"/>
        </w:rPr>
        <w:t> </w:t>
      </w:r>
      <w:r w:rsidRPr="006F5C5F">
        <w:rPr>
          <w:color w:val="000000"/>
          <w:sz w:val="20"/>
          <w:szCs w:val="20"/>
        </w:rPr>
        <w:t>Não se excluirá da apreciação jurisdicional ameaça ou lesão a direito.</w:t>
      </w:r>
      <w:bookmarkStart w:id="0" w:name="art3§1"/>
      <w:bookmarkEnd w:id="0"/>
    </w:p>
    <w:p w:rsidR="006F5C5F" w:rsidRPr="006F5C5F" w:rsidRDefault="006F5C5F" w:rsidP="00E44F93">
      <w:pPr>
        <w:pStyle w:val="artigo"/>
        <w:ind w:left="2268" w:hanging="141"/>
        <w:jc w:val="both"/>
        <w:rPr>
          <w:color w:val="000000"/>
          <w:sz w:val="20"/>
          <w:szCs w:val="20"/>
        </w:rPr>
      </w:pPr>
      <w:r w:rsidRPr="006F5C5F">
        <w:rPr>
          <w:color w:val="000000"/>
          <w:sz w:val="20"/>
          <w:szCs w:val="20"/>
        </w:rPr>
        <w:t>§ 1</w:t>
      </w:r>
      <w:r w:rsidRPr="006F5C5F">
        <w:rPr>
          <w:color w:val="000000"/>
          <w:sz w:val="20"/>
          <w:szCs w:val="20"/>
          <w:u w:val="single"/>
          <w:vertAlign w:val="superscript"/>
        </w:rPr>
        <w:t>o</w:t>
      </w:r>
      <w:r w:rsidRPr="006F5C5F">
        <w:rPr>
          <w:rStyle w:val="apple-converted-space"/>
          <w:color w:val="000000"/>
          <w:sz w:val="20"/>
          <w:szCs w:val="20"/>
        </w:rPr>
        <w:t> </w:t>
      </w:r>
      <w:r w:rsidRPr="006F5C5F">
        <w:rPr>
          <w:color w:val="000000"/>
          <w:sz w:val="20"/>
          <w:szCs w:val="20"/>
        </w:rPr>
        <w:t>É permitida a arbitragem, na forma da lei.</w:t>
      </w:r>
    </w:p>
    <w:p w:rsidR="006F5C5F" w:rsidRPr="006F5C5F" w:rsidRDefault="006F5C5F" w:rsidP="00E44F93">
      <w:pPr>
        <w:pStyle w:val="artigo"/>
        <w:ind w:left="2268" w:hanging="141"/>
        <w:jc w:val="both"/>
        <w:rPr>
          <w:color w:val="000000"/>
          <w:sz w:val="20"/>
          <w:szCs w:val="20"/>
        </w:rPr>
      </w:pPr>
      <w:bookmarkStart w:id="1" w:name="art3§2"/>
      <w:bookmarkEnd w:id="1"/>
      <w:r w:rsidRPr="006F5C5F">
        <w:rPr>
          <w:color w:val="000000"/>
          <w:sz w:val="20"/>
          <w:szCs w:val="20"/>
        </w:rPr>
        <w:t>§ 2</w:t>
      </w:r>
      <w:r w:rsidRPr="006F5C5F">
        <w:rPr>
          <w:color w:val="000000"/>
          <w:sz w:val="20"/>
          <w:szCs w:val="20"/>
          <w:u w:val="single"/>
          <w:vertAlign w:val="superscript"/>
        </w:rPr>
        <w:t>o</w:t>
      </w:r>
      <w:r w:rsidRPr="006F5C5F">
        <w:rPr>
          <w:rStyle w:val="apple-converted-space"/>
          <w:color w:val="000000"/>
          <w:sz w:val="20"/>
          <w:szCs w:val="20"/>
        </w:rPr>
        <w:t> </w:t>
      </w:r>
      <w:r w:rsidRPr="006F5C5F">
        <w:rPr>
          <w:color w:val="000000"/>
          <w:sz w:val="20"/>
          <w:szCs w:val="20"/>
        </w:rPr>
        <w:t>O Estado promoverá, sempre que possível, a solução consensual dos conflitos.</w:t>
      </w:r>
    </w:p>
    <w:p w:rsidR="006F5C5F" w:rsidRPr="006F5C5F" w:rsidRDefault="006F5C5F" w:rsidP="006F5C5F">
      <w:pPr>
        <w:pStyle w:val="artigo"/>
        <w:ind w:left="2268" w:hanging="141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art3§3"/>
      <w:bookmarkEnd w:id="2"/>
      <w:r w:rsidRPr="006F5C5F">
        <w:rPr>
          <w:color w:val="000000"/>
          <w:sz w:val="20"/>
          <w:szCs w:val="20"/>
        </w:rPr>
        <w:lastRenderedPageBreak/>
        <w:t>§ 3</w:t>
      </w:r>
      <w:r w:rsidRPr="006F5C5F">
        <w:rPr>
          <w:color w:val="000000"/>
          <w:sz w:val="20"/>
          <w:szCs w:val="20"/>
          <w:u w:val="single"/>
          <w:vertAlign w:val="superscript"/>
        </w:rPr>
        <w:t>o</w:t>
      </w:r>
      <w:r w:rsidRPr="006F5C5F">
        <w:rPr>
          <w:rStyle w:val="apple-converted-space"/>
          <w:color w:val="000000"/>
          <w:sz w:val="20"/>
          <w:szCs w:val="20"/>
        </w:rPr>
        <w:t> </w:t>
      </w:r>
      <w:r w:rsidRPr="006F5C5F">
        <w:rPr>
          <w:color w:val="000000"/>
          <w:sz w:val="20"/>
          <w:szCs w:val="20"/>
        </w:rPr>
        <w:t>A conciliação, a mediação e outros métodos de solução consensual de conflitos deverão ser estimulados por juízes, advogados, defensores públicos e membros do Ministério Público, inclusive no curso do processo judicial</w:t>
      </w:r>
      <w:r w:rsidRPr="006F5C5F">
        <w:rPr>
          <w:rFonts w:ascii="Arial" w:hAnsi="Arial" w:cs="Arial"/>
          <w:color w:val="000000"/>
          <w:sz w:val="20"/>
          <w:szCs w:val="20"/>
        </w:rPr>
        <w:t>.</w:t>
      </w:r>
    </w:p>
    <w:p w:rsidR="006F5C5F" w:rsidRDefault="00DA529F" w:rsidP="00DA529F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dispositivo dá a base para que o </w:t>
      </w:r>
      <w:r>
        <w:rPr>
          <w:rFonts w:ascii="Times New Roman" w:hAnsi="Times New Roman" w:cs="Times New Roman"/>
          <w:i/>
          <w:sz w:val="24"/>
          <w:szCs w:val="24"/>
        </w:rPr>
        <w:t xml:space="preserve">caput </w:t>
      </w:r>
      <w:r>
        <w:rPr>
          <w:rFonts w:ascii="Times New Roman" w:hAnsi="Times New Roman" w:cs="Times New Roman"/>
          <w:sz w:val="24"/>
          <w:szCs w:val="24"/>
        </w:rPr>
        <w:t>do art. 334 afirme que “s</w:t>
      </w:r>
      <w:r w:rsidRPr="00DA529F">
        <w:rPr>
          <w:rFonts w:ascii="Times New Roman" w:hAnsi="Times New Roman" w:cs="Times New Roman"/>
          <w:color w:val="000000"/>
          <w:sz w:val="24"/>
          <w:szCs w:val="24"/>
        </w:rPr>
        <w:t>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52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Estabelece-se, assim, uma quase obrigatória passagem para os ditos ‘meios jurisdicionais alternativos’, de tal forma que para a autocomposição basta a vontade de uma das partes, uma vez que a referida audiência, conforme art. 334 § 5º, somente não ocorre quando ambos autor e réu manifestam, na petição inicial e em petição, respectivamente, seu desinteresse na solução autocompositiva.</w:t>
      </w:r>
      <w:r w:rsidR="009828BA">
        <w:rPr>
          <w:rFonts w:ascii="Times New Roman" w:hAnsi="Times New Roman" w:cs="Times New Roman"/>
          <w:color w:val="000000"/>
          <w:sz w:val="24"/>
          <w:szCs w:val="24"/>
        </w:rPr>
        <w:t xml:space="preserve"> Duas mudanças cognitivas são visualizáveis nesse quadro: a primeira, que a petição inicial seja vista como “atividade preparatória de um potencial acordo</w:t>
      </w:r>
      <w:r w:rsidR="007344C1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9828BA">
        <w:rPr>
          <w:rFonts w:ascii="Times New Roman" w:hAnsi="Times New Roman" w:cs="Times New Roman"/>
          <w:color w:val="000000"/>
          <w:sz w:val="24"/>
          <w:szCs w:val="24"/>
        </w:rPr>
        <w:t xml:space="preserve">”, e a segunda, que o não comparecimento injustificado na audiência </w:t>
      </w:r>
      <w:r w:rsidR="007344C1">
        <w:rPr>
          <w:rFonts w:ascii="Times New Roman" w:hAnsi="Times New Roman" w:cs="Times New Roman"/>
          <w:color w:val="000000"/>
          <w:sz w:val="24"/>
          <w:szCs w:val="24"/>
        </w:rPr>
        <w:t>tenha se tornado ato atentatório à dignidade da justiça, sujeito, portanto, à sanção (art. 334 §8º).</w:t>
      </w:r>
    </w:p>
    <w:p w:rsidR="00D07E10" w:rsidRDefault="00D07E10" w:rsidP="00DA529F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Busca-se assim, uma “mudança de racionalidade dos sujeitos processuais de modo a aprimorar tecnicamente o uso do processo democrático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/>
          <w:sz w:val="24"/>
          <w:szCs w:val="24"/>
        </w:rPr>
        <w:t>”, em uma dialética processual menos institucionalizada em um sistema passivo pré-formulado e mais exigente de uma participação ativa das partes.</w:t>
      </w:r>
      <w:r w:rsidR="00E123E4">
        <w:rPr>
          <w:rFonts w:ascii="Times New Roman" w:hAnsi="Times New Roman" w:cs="Times New Roman"/>
          <w:color w:val="000000"/>
          <w:sz w:val="24"/>
          <w:szCs w:val="24"/>
        </w:rPr>
        <w:t xml:space="preserve"> O objetivo final do CPC é tornar os Tribunais um último recurso, utilizável caso os demais meios falhem. Com isso obtém-se não somente um alívio do sistema oficial de jurisdição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 xml:space="preserve">, mas também a possibilidade da </w:t>
      </w:r>
      <w:r w:rsidR="00E123E4">
        <w:rPr>
          <w:rFonts w:ascii="Times New Roman" w:hAnsi="Times New Roman" w:cs="Times New Roman"/>
          <w:color w:val="000000"/>
          <w:sz w:val="24"/>
          <w:szCs w:val="24"/>
        </w:rPr>
        <w:t xml:space="preserve">adoção da solução mais adequada 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>a cada litígio, uma vez que a autocomposição</w:t>
      </w:r>
      <w:r w:rsidR="00E123E4">
        <w:rPr>
          <w:rFonts w:ascii="Times New Roman" w:hAnsi="Times New Roman" w:cs="Times New Roman"/>
          <w:color w:val="000000"/>
          <w:sz w:val="24"/>
          <w:szCs w:val="24"/>
        </w:rPr>
        <w:t xml:space="preserve"> é fruto da própria deliberação das partes, o que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 xml:space="preserve"> contribui para a noção de uma</w:t>
      </w:r>
      <w:r w:rsidR="00E123E4">
        <w:rPr>
          <w:rFonts w:ascii="Times New Roman" w:hAnsi="Times New Roman" w:cs="Times New Roman"/>
          <w:color w:val="000000"/>
          <w:sz w:val="24"/>
          <w:szCs w:val="24"/>
        </w:rPr>
        <w:t xml:space="preserve"> Justiça 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E123E4">
        <w:rPr>
          <w:rFonts w:ascii="Times New Roman" w:hAnsi="Times New Roman" w:cs="Times New Roman"/>
          <w:color w:val="000000"/>
          <w:sz w:val="24"/>
          <w:szCs w:val="24"/>
        </w:rPr>
        <w:t xml:space="preserve">não 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 xml:space="preserve">seja </w:t>
      </w:r>
      <w:r w:rsidR="000F0B8D">
        <w:rPr>
          <w:rFonts w:ascii="Times New Roman" w:hAnsi="Times New Roman" w:cs="Times New Roman"/>
          <w:color w:val="000000"/>
          <w:sz w:val="24"/>
          <w:szCs w:val="24"/>
        </w:rPr>
        <w:t xml:space="preserve">ofertada </w:t>
      </w:r>
      <w:r w:rsidR="00E123E4">
        <w:rPr>
          <w:rFonts w:ascii="Times New Roman" w:hAnsi="Times New Roman" w:cs="Times New Roman"/>
          <w:color w:val="000000"/>
          <w:sz w:val="24"/>
          <w:szCs w:val="24"/>
        </w:rPr>
        <w:t xml:space="preserve">somente nos Tribunais, </w:t>
      </w:r>
      <w:r w:rsidR="000F0B8D">
        <w:rPr>
          <w:rFonts w:ascii="Times New Roman" w:hAnsi="Times New Roman" w:cs="Times New Roman"/>
          <w:color w:val="000000"/>
          <w:sz w:val="24"/>
          <w:szCs w:val="24"/>
        </w:rPr>
        <w:t xml:space="preserve">mas 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>também</w:t>
      </w:r>
      <w:r w:rsidR="00800341">
        <w:rPr>
          <w:rFonts w:ascii="Times New Roman" w:hAnsi="Times New Roman" w:cs="Times New Roman"/>
          <w:color w:val="000000"/>
          <w:sz w:val="24"/>
          <w:szCs w:val="24"/>
        </w:rPr>
        <w:t xml:space="preserve"> em uma lista </w:t>
      </w:r>
      <w:r w:rsidR="000F0B8D">
        <w:rPr>
          <w:rFonts w:ascii="Times New Roman" w:hAnsi="Times New Roman" w:cs="Times New Roman"/>
          <w:color w:val="000000"/>
          <w:sz w:val="24"/>
          <w:szCs w:val="24"/>
        </w:rPr>
        <w:t>larga e diversificada</w:t>
      </w:r>
      <w:r w:rsidR="00800341">
        <w:rPr>
          <w:rFonts w:ascii="Times New Roman" w:hAnsi="Times New Roman" w:cs="Times New Roman"/>
          <w:color w:val="000000"/>
          <w:sz w:val="24"/>
          <w:szCs w:val="24"/>
        </w:rPr>
        <w:t xml:space="preserve"> de opções, viabilizando, assim, o acesso à justiça garantido constitucionalmente (art. 5º XXXV, CF).</w:t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 xml:space="preserve"> Baseado nisso, estabeleceu-se duas metas a serem alcançadas pela nova legislação: “desburocratização do processo para reduzir sua duração temporal, e a valorização dos métodos alternativos de solução de conflito, dentre os quais se destaca a conciliação (seja judicial ou extrajudicial</w:t>
      </w:r>
      <w:r w:rsidR="00E01418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E01418">
        <w:rPr>
          <w:rFonts w:ascii="Times New Roman" w:hAnsi="Times New Roman" w:cs="Times New Roman"/>
          <w:color w:val="000000"/>
          <w:sz w:val="24"/>
          <w:szCs w:val="24"/>
        </w:rPr>
        <w:t xml:space="preserve">)”. </w:t>
      </w:r>
    </w:p>
    <w:p w:rsidR="0057505F" w:rsidRDefault="00E01418" w:rsidP="00DA529F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movimento de desvinculação da associação obrigatória da Justiça a um sistema formal, burocrático e impositivo na sua heterogeneidade cresce no fim do século XX, tanto no exterior, especialment</w:t>
      </w:r>
      <w:r w:rsidR="004C16BD">
        <w:rPr>
          <w:rFonts w:ascii="Times New Roman" w:hAnsi="Times New Roman" w:cs="Times New Roman"/>
          <w:color w:val="000000"/>
          <w:sz w:val="24"/>
          <w:szCs w:val="24"/>
        </w:rPr>
        <w:t xml:space="preserve">e na Itália, França, Alemanha, Estados Unidos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Inglaterra, quanto no Brasil, que desde 1988 tem em sua Constituição a previsão dos Juizados Especiais. 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fenômeno ganha força e independência conforme é direcionado para causas independentemente de sua complexidade</w:t>
      </w:r>
      <w:r w:rsidR="00753674">
        <w:rPr>
          <w:rFonts w:ascii="Times New Roman" w:hAnsi="Times New Roman" w:cs="Times New Roman"/>
          <w:color w:val="000000"/>
          <w:sz w:val="24"/>
          <w:szCs w:val="24"/>
        </w:rPr>
        <w:t xml:space="preserve"> e passa a consolidar a ideia de um Tribunal Multiportas, detentor de métodos distintos de acesso à justiça, todos disponíveis aos cidadãos conforme suas necessidades.</w:t>
      </w:r>
      <w:r w:rsidR="00A70C80">
        <w:rPr>
          <w:rFonts w:ascii="Times New Roman" w:hAnsi="Times New Roman" w:cs="Times New Roman"/>
          <w:color w:val="000000"/>
          <w:sz w:val="24"/>
          <w:szCs w:val="24"/>
        </w:rPr>
        <w:t xml:space="preserve"> A partir dessas iniciativas em diferentes países, aprendeu-se que, idealmente, o profissional que presidisse a audiência conciliatória não poderia ser o mesmo a julgar o litígio; e que a fase inicial e pré-processual é a mais importante do processo, na qual se deve gastar mais tempo e energia, pois detém a capacidade de determinar a efetividade de todo o procedimento, concepção inversa à verificada atualmente na Justiça brasileira</w:t>
      </w:r>
      <w:r w:rsidR="00A70C80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A70C80">
        <w:rPr>
          <w:rFonts w:ascii="Times New Roman" w:hAnsi="Times New Roman" w:cs="Times New Roman"/>
          <w:color w:val="000000"/>
          <w:sz w:val="24"/>
          <w:szCs w:val="24"/>
        </w:rPr>
        <w:t>. Nesse sentido, a conclusão lógica que se obtém é a de que a escolha do método mais adequado à solução do litígio é essencial à efetividade de razoável duração do processo. Buscando viabilizar tal situação de um acesso à justiça mais dinâmico e atento à realidade das partes, o novo CPC adota, em seu art. 165, a criação de centros judiciários de solução consensual de conflitos, que funcionem sem prejuízo às câmaras privadas de conciliação e mediação, compostos por profissionais habilitados e cadastrados</w:t>
      </w:r>
      <w:r w:rsidR="00746103">
        <w:rPr>
          <w:rFonts w:ascii="Times New Roman" w:hAnsi="Times New Roman" w:cs="Times New Roman"/>
          <w:color w:val="000000"/>
          <w:sz w:val="24"/>
          <w:szCs w:val="24"/>
        </w:rPr>
        <w:t xml:space="preserve"> (art. 167).</w:t>
      </w:r>
      <w:r w:rsidR="0057505F">
        <w:rPr>
          <w:rFonts w:ascii="Times New Roman" w:hAnsi="Times New Roman" w:cs="Times New Roman"/>
          <w:color w:val="000000"/>
          <w:sz w:val="24"/>
          <w:szCs w:val="24"/>
        </w:rPr>
        <w:t xml:space="preserve"> Procede-se, assim, à valorização de tais métodos, não mais realizados pelo próprio juiz, mas sim organizados e sistematizados conforme padrões de profissionalização, cuja violação produz uma sanção (art. 173), orientados por princípios (independência, imparcialidade, autonomia da vontade, confidencialidade, oralidade, informalidade e decisão informada, art. 166), e sujeitos às mesmas causas de impedimento e suspeição que qualquer outro auxiliar judiciário (art. 148). Vê-se, assim, a busca pela transformação de tais meios de ‘alternativos’ em integrantes legítimos e ativos da vivência judiciária cotidiana.</w:t>
      </w:r>
    </w:p>
    <w:p w:rsidR="004C16BD" w:rsidRDefault="004C16BD" w:rsidP="00DA529F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Entretanto, é necessário notar que a profissionalização e criação de centros requeridas se configuram como mais um gasto ao Estado, o que se contrapõe ao objetivo de otimização anunciado por tais ferramentas. Nesse contexto, os diversos centros de mediação criados pelas faculdades de direito brasileiras são uma opção extremamente viável e benéfica de cooperação entre o organismo oficial estatal e entidades paralelas. </w:t>
      </w:r>
    </w:p>
    <w:p w:rsidR="00E44F93" w:rsidRDefault="004C16BD" w:rsidP="00DA529F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 meio às diversas opções de acesso à justiça almejadas pelo CPC, criou-se um modelo de triagem de casos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process</w:t>
      </w:r>
      <w:proofErr w:type="spellEnd"/>
      <w:r w:rsidR="00E44F93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6"/>
      </w:r>
      <w:r w:rsidR="00E44F9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inspirado </w:t>
      </w:r>
      <w:r w:rsidR="00E44F93">
        <w:rPr>
          <w:rFonts w:ascii="Times New Roman" w:hAnsi="Times New Roman" w:cs="Times New Roman"/>
          <w:color w:val="000000"/>
          <w:sz w:val="24"/>
          <w:szCs w:val="24"/>
        </w:rPr>
        <w:t>na experiência estadunidense:</w:t>
      </w:r>
    </w:p>
    <w:p w:rsidR="00E44F93" w:rsidRPr="00E44F93" w:rsidRDefault="00E44F93" w:rsidP="00E44F93">
      <w:pPr>
        <w:pStyle w:val="PargrafodaLista"/>
        <w:numPr>
          <w:ilvl w:val="0"/>
          <w:numId w:val="2"/>
        </w:num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44F93">
        <w:rPr>
          <w:rFonts w:ascii="Times New Roman" w:hAnsi="Times New Roman" w:cs="Times New Roman"/>
          <w:color w:val="000000"/>
          <w:sz w:val="20"/>
          <w:szCs w:val="20"/>
        </w:rPr>
        <w:t>A possibilidade inaugural de julgamento imediato de causas (improcedência liminar – art. 332) em hipóteses em que já exista direito jurisprudencial estabilizado (em versão constitucional do art. 285-A do CPC Reformado de 1973);</w:t>
      </w:r>
    </w:p>
    <w:p w:rsidR="00E44F93" w:rsidRPr="00E44F93" w:rsidRDefault="00E44F93" w:rsidP="00E44F93">
      <w:pPr>
        <w:pStyle w:val="PargrafodaLista"/>
        <w:numPr>
          <w:ilvl w:val="0"/>
          <w:numId w:val="2"/>
        </w:num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44F93">
        <w:rPr>
          <w:rFonts w:ascii="Times New Roman" w:hAnsi="Times New Roman" w:cs="Times New Roman"/>
          <w:color w:val="000000"/>
          <w:sz w:val="20"/>
          <w:szCs w:val="20"/>
        </w:rPr>
        <w:t>Audiência inaugural de conciliação ou mediação (art. 334), logo após a análise da petição inicial, na qual o conciliador ou mediador profissional, onde houver, atuará necessariamente;</w:t>
      </w:r>
    </w:p>
    <w:p w:rsidR="00E44F93" w:rsidRPr="00093383" w:rsidRDefault="00E44F93" w:rsidP="00E44F93">
      <w:pPr>
        <w:pStyle w:val="PargrafodaLista"/>
        <w:numPr>
          <w:ilvl w:val="0"/>
          <w:numId w:val="2"/>
        </w:num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44F93">
        <w:rPr>
          <w:rFonts w:ascii="Times New Roman" w:hAnsi="Times New Roman" w:cs="Times New Roman"/>
          <w:color w:val="000000"/>
          <w:sz w:val="20"/>
          <w:szCs w:val="20"/>
        </w:rPr>
        <w:lastRenderedPageBreak/>
        <w:t>Ou mesmo, a remessa imediata aos centros judiciários de solução consensual dos conflitos para que, mediante a ingerência de profissionais treinados, se busque dimensionar o conflito</w:t>
      </w:r>
      <w:r w:rsidRPr="00E44F93">
        <w:rPr>
          <w:rStyle w:val="Refdenotaderodap"/>
          <w:rFonts w:ascii="Times New Roman" w:hAnsi="Times New Roman" w:cs="Times New Roman"/>
          <w:color w:val="000000"/>
          <w:sz w:val="20"/>
          <w:szCs w:val="20"/>
        </w:rPr>
        <w:footnoteReference w:id="7"/>
      </w:r>
      <w:r w:rsidRPr="00E44F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93383" w:rsidRDefault="00093383" w:rsidP="0009338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modelo, acertadamente, é controlado pela fiscalização normativa, obstando um ativismo excessivamente discricionário da parte do juiz, da mesma forma que o conciliador, conforme o art. 165 § 2º, é </w:t>
      </w:r>
      <w:r w:rsidRPr="00093383">
        <w:rPr>
          <w:rFonts w:ascii="Times New Roman" w:hAnsi="Times New Roman" w:cs="Times New Roman"/>
          <w:sz w:val="24"/>
          <w:szCs w:val="24"/>
        </w:rPr>
        <w:t xml:space="preserve">proibido de </w:t>
      </w:r>
      <w:r w:rsidRPr="00093383">
        <w:rPr>
          <w:rFonts w:ascii="Times New Roman" w:hAnsi="Times New Roman" w:cs="Times New Roman"/>
          <w:color w:val="000000"/>
          <w:sz w:val="24"/>
          <w:szCs w:val="24"/>
        </w:rPr>
        <w:t>utilizar de qualquer tipo de constrangimento ou intimidação para que as partes conciliem</w:t>
      </w:r>
      <w:r>
        <w:rPr>
          <w:rFonts w:ascii="Times New Roman" w:hAnsi="Times New Roman" w:cs="Times New Roman"/>
          <w:color w:val="000000"/>
          <w:sz w:val="24"/>
          <w:szCs w:val="24"/>
        </w:rPr>
        <w:t>, e o mediador sequer pode sugerir soluções para o litígio, as quais devem advir do diálogo entre as partes (art. 165 § 3º).</w:t>
      </w:r>
      <w:r w:rsidR="00254AC6">
        <w:rPr>
          <w:rFonts w:ascii="Times New Roman" w:hAnsi="Times New Roman" w:cs="Times New Roman"/>
          <w:color w:val="000000"/>
          <w:sz w:val="24"/>
          <w:szCs w:val="24"/>
        </w:rPr>
        <w:t xml:space="preserve"> Por todos seus mecanismos, o novo CPC cria, assim, um “peculiar modelo multiportas no qual o processo judicial encampa a solução adjudicada (jurisdicional), além da possibilidade endoprocessual de uma conciliação e/ou mediação profissionalizada (art. 167)</w:t>
      </w:r>
      <w:r w:rsidR="00254AC6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="00254AC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54AC6" w:rsidRDefault="00254AC6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novo CPC, na busca de ferramentas dinâmicas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case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manegement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institui inovadoramente nos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190 e 191 a negociação processual, forma de flexibilização do process</w:t>
      </w:r>
      <w:r w:rsidR="00544DAC">
        <w:rPr>
          <w:rFonts w:ascii="Times New Roman" w:hAnsi="Times New Roman" w:cs="Times New Roman"/>
          <w:color w:val="000000"/>
          <w:sz w:val="24"/>
          <w:szCs w:val="24"/>
        </w:rPr>
        <w:t xml:space="preserve">o criada na </w:t>
      </w:r>
      <w:proofErr w:type="spellStart"/>
      <w:r w:rsidR="00544DAC">
        <w:rPr>
          <w:rFonts w:ascii="Times New Roman" w:hAnsi="Times New Roman" w:cs="Times New Roman"/>
          <w:color w:val="000000"/>
          <w:sz w:val="24"/>
          <w:szCs w:val="24"/>
        </w:rPr>
        <w:t>pandectística</w:t>
      </w:r>
      <w:proofErr w:type="spellEnd"/>
      <w:r w:rsidR="00544DAC">
        <w:rPr>
          <w:rFonts w:ascii="Times New Roman" w:hAnsi="Times New Roman" w:cs="Times New Roman"/>
          <w:color w:val="000000"/>
          <w:sz w:val="24"/>
          <w:szCs w:val="24"/>
        </w:rPr>
        <w:t xml:space="preserve"> alemã na qual as partes definem, juntamente com o juiz, em uma posição de diálogo participativo e não impositivo, a </w:t>
      </w:r>
      <w:proofErr w:type="spellStart"/>
      <w:r w:rsidR="00544DAC">
        <w:rPr>
          <w:rFonts w:ascii="Times New Roman" w:hAnsi="Times New Roman" w:cs="Times New Roman"/>
          <w:color w:val="000000"/>
          <w:sz w:val="24"/>
          <w:szCs w:val="24"/>
        </w:rPr>
        <w:t>contratualização</w:t>
      </w:r>
      <w:proofErr w:type="spellEnd"/>
      <w:r w:rsidR="00544DAC">
        <w:rPr>
          <w:rFonts w:ascii="Times New Roman" w:hAnsi="Times New Roman" w:cs="Times New Roman"/>
          <w:color w:val="000000"/>
          <w:sz w:val="24"/>
          <w:szCs w:val="24"/>
        </w:rPr>
        <w:t xml:space="preserve"> das relações processuais</w:t>
      </w:r>
      <w:r w:rsidR="003523CA">
        <w:rPr>
          <w:rFonts w:ascii="Times New Roman" w:hAnsi="Times New Roman" w:cs="Times New Roman"/>
          <w:color w:val="000000"/>
          <w:sz w:val="24"/>
          <w:szCs w:val="24"/>
        </w:rPr>
        <w:t xml:space="preserve">, a cláusula de </w:t>
      </w:r>
      <w:proofErr w:type="spellStart"/>
      <w:r w:rsidR="003523CA">
        <w:rPr>
          <w:rFonts w:ascii="Times New Roman" w:hAnsi="Times New Roman" w:cs="Times New Roman"/>
          <w:color w:val="000000"/>
          <w:sz w:val="24"/>
          <w:szCs w:val="24"/>
        </w:rPr>
        <w:t>consensualidade</w:t>
      </w:r>
      <w:proofErr w:type="spellEnd"/>
      <w:r w:rsidR="00544DAC">
        <w:rPr>
          <w:rFonts w:ascii="Times New Roman" w:hAnsi="Times New Roman" w:cs="Times New Roman"/>
          <w:color w:val="000000"/>
          <w:sz w:val="24"/>
          <w:szCs w:val="24"/>
        </w:rPr>
        <w:t>. Tal instituto, por muito tempo inexpressivo mundialmente em razão da predominância do rigorismo formal, legalista</w:t>
      </w:r>
      <w:r w:rsidR="00C916C0">
        <w:rPr>
          <w:rFonts w:ascii="Times New Roman" w:hAnsi="Times New Roman" w:cs="Times New Roman"/>
          <w:color w:val="000000"/>
          <w:sz w:val="24"/>
          <w:szCs w:val="24"/>
        </w:rPr>
        <w:t>, rígido</w:t>
      </w:r>
      <w:r w:rsidR="00544DAC">
        <w:rPr>
          <w:rFonts w:ascii="Times New Roman" w:hAnsi="Times New Roman" w:cs="Times New Roman"/>
          <w:color w:val="000000"/>
          <w:sz w:val="24"/>
          <w:szCs w:val="24"/>
        </w:rPr>
        <w:t xml:space="preserve"> e estatal, ganha força no final do século XX, com o a perda do protagonismo estatal na produção legislativa</w:t>
      </w:r>
      <w:r w:rsidR="00CA0448">
        <w:rPr>
          <w:rFonts w:ascii="Times New Roman" w:hAnsi="Times New Roman" w:cs="Times New Roman"/>
          <w:color w:val="000000"/>
          <w:sz w:val="24"/>
          <w:szCs w:val="24"/>
        </w:rPr>
        <w:t>, e hoje se configura como uma tendência processual</w:t>
      </w:r>
      <w:r w:rsidR="00544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23CA">
        <w:rPr>
          <w:rFonts w:ascii="Times New Roman" w:hAnsi="Times New Roman" w:cs="Times New Roman"/>
          <w:color w:val="000000"/>
          <w:sz w:val="24"/>
          <w:szCs w:val="24"/>
        </w:rPr>
        <w:t>Assim, abandona-se a concepção de contrato e processo como opostos, criando uma cooperação intra e extraprocessual regida pelos mesmos princípios seguidos pela Administração Pública, mas confiante na autonomia da vontade das partes limitada pelas garantias fundamentais do processo. A cláusula, assim, não versa sobre a matéria do litígio, e sim busca regulamentá-lo, personalizar seu método da forma mais eficiente e proveitosa às partes. É uma convenção pactuada fora do processo, mas com eficácia endoprocessual</w:t>
      </w:r>
      <w:r w:rsidR="003523CA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="00352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448" w:rsidRDefault="00CA0448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cláusula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consensualidade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é, por sua própria natureza regulamentar do procedimento, de maior eficiência e aplicabilidade na fase pré-processual, na qual partes e juiz definem em comum acordo determinada flexibilização das definições legislativas processuais típicas. Tal flexibilização pode ocorrer de diversas formas, e sofre diferenciações em cada país: o Brasil optou pela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flexibilização por procedimento legal adaptável,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qual “a lei estipula o rito a ser seguido, mas permite algumas modificações no curso do processo, pelo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juiz ou pelas partes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0"/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C916C0">
        <w:rPr>
          <w:rFonts w:ascii="Times New Roman" w:hAnsi="Times New Roman" w:cs="Times New Roman"/>
          <w:color w:val="000000"/>
          <w:sz w:val="24"/>
          <w:szCs w:val="24"/>
        </w:rPr>
        <w:t xml:space="preserve"> Apesar do CPC de 1973 aceitar ‘ajustes’ procedimentais, como a cláusula de eleição de foro, o instituto da negociação processual permite mudanças mais significativas, acerca da “condução do processo e do momento da prática de determinados atos processuais</w:t>
      </w:r>
      <w:r w:rsidR="00C916C0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="00836D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916C0">
        <w:rPr>
          <w:rFonts w:ascii="Times New Roman" w:hAnsi="Times New Roman" w:cs="Times New Roman"/>
          <w:color w:val="000000"/>
          <w:sz w:val="24"/>
          <w:szCs w:val="24"/>
        </w:rPr>
        <w:t>, em acordos de natureza exclusivamente processual</w:t>
      </w:r>
      <w:r w:rsidR="00836DD4">
        <w:rPr>
          <w:rFonts w:ascii="Times New Roman" w:hAnsi="Times New Roman" w:cs="Times New Roman"/>
          <w:color w:val="000000"/>
          <w:sz w:val="24"/>
          <w:szCs w:val="24"/>
        </w:rPr>
        <w:t>, limitados somente pelos requisitos dos direitos fundamentais processuais e do formalismo democrático</w:t>
      </w:r>
      <w:r w:rsidR="00C916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6DD4">
        <w:rPr>
          <w:rFonts w:ascii="Times New Roman" w:hAnsi="Times New Roman" w:cs="Times New Roman"/>
          <w:color w:val="000000"/>
          <w:sz w:val="24"/>
          <w:szCs w:val="24"/>
        </w:rPr>
        <w:t xml:space="preserve"> Ressalta-se que não há qualquer homologação judicial dos acordos celebrados entre as partes, conforme Enunciado 133 do Fórum Permanente de Processualistas Civis.</w:t>
      </w:r>
    </w:p>
    <w:p w:rsidR="00836DD4" w:rsidRDefault="00836DD4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vozes na doutrina nacional que se levantam contra a cláusula de negociação processual afirmam sua inconstitucionalidade, por ferir os princípios da legalidade, devido processo legal e segurança jurídica. Entretanto, tal visão somente se adequaria em um contexto de legalidade estrita, inexistente na vivência jurídica atual, que passa por um quadro pós-giro linguístico e pós-positivista, no qual a importância maior é conferida aos princípios, maleáveis de acordo com a linguagem interpretativa. </w:t>
      </w:r>
      <w:r w:rsidR="00703294">
        <w:rPr>
          <w:rFonts w:ascii="Times New Roman" w:hAnsi="Times New Roman" w:cs="Times New Roman"/>
          <w:color w:val="000000"/>
          <w:sz w:val="24"/>
          <w:szCs w:val="24"/>
        </w:rPr>
        <w:t>Ademais, deve-se levar em conta a necessária valorização da autonomia das partes, que têm direito de poder acordar entre si mét</w:t>
      </w:r>
      <w:r w:rsidR="00305956">
        <w:rPr>
          <w:rFonts w:ascii="Times New Roman" w:hAnsi="Times New Roman" w:cs="Times New Roman"/>
          <w:color w:val="000000"/>
          <w:sz w:val="24"/>
          <w:szCs w:val="24"/>
        </w:rPr>
        <w:t>odos para uma maior celeridade</w:t>
      </w:r>
      <w:r w:rsidR="00F736A0">
        <w:rPr>
          <w:rFonts w:ascii="Times New Roman" w:hAnsi="Times New Roman" w:cs="Times New Roman"/>
          <w:color w:val="000000"/>
          <w:sz w:val="24"/>
          <w:szCs w:val="24"/>
        </w:rPr>
        <w:t>, economia, adequação</w:t>
      </w:r>
      <w:r w:rsidR="00305956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03294">
        <w:rPr>
          <w:rFonts w:ascii="Times New Roman" w:hAnsi="Times New Roman" w:cs="Times New Roman"/>
          <w:color w:val="000000"/>
          <w:sz w:val="24"/>
          <w:szCs w:val="24"/>
        </w:rPr>
        <w:t xml:space="preserve"> eficiência do processo, em uma abordagem gerencial moldável à realidade e ao contexto concretos</w:t>
      </w:r>
      <w:r w:rsidR="00703294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="007032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04DA">
        <w:rPr>
          <w:rFonts w:ascii="Times New Roman" w:hAnsi="Times New Roman" w:cs="Times New Roman"/>
          <w:color w:val="000000"/>
          <w:sz w:val="24"/>
          <w:szCs w:val="24"/>
        </w:rPr>
        <w:t>Não se pode negar o benefício existente na mudança comportamental das partes, de uma posição agressiva e passiva para uma cooperativa e ativa.</w:t>
      </w:r>
    </w:p>
    <w:p w:rsidR="001402FC" w:rsidRDefault="001402FC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dinâmica da cláusula geral de negociação processual brasileira, exposta no art. 190 CPC, é ainda ousada no ponto que não delega somente ao juiz a função de gestão processual, mas, ao contrári</w:t>
      </w:r>
      <w:r w:rsidR="00F736A0">
        <w:rPr>
          <w:rFonts w:ascii="Times New Roman" w:hAnsi="Times New Roman" w:cs="Times New Roman"/>
          <w:color w:val="000000"/>
          <w:sz w:val="24"/>
          <w:szCs w:val="24"/>
        </w:rPr>
        <w:t>o, exige uma participação ativa, dialógica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cooperac</w:t>
      </w:r>
      <w:r w:rsidR="00247AB0">
        <w:rPr>
          <w:rFonts w:ascii="Times New Roman" w:hAnsi="Times New Roman" w:cs="Times New Roman"/>
          <w:color w:val="000000"/>
          <w:sz w:val="24"/>
          <w:szCs w:val="24"/>
        </w:rPr>
        <w:t xml:space="preserve">ional das partes, valorizando sua </w:t>
      </w:r>
      <w:r>
        <w:rPr>
          <w:rFonts w:ascii="Times New Roman" w:hAnsi="Times New Roman" w:cs="Times New Roman"/>
          <w:color w:val="000000"/>
          <w:sz w:val="24"/>
          <w:szCs w:val="24"/>
        </w:rPr>
        <w:t>autonomia e, conforme o parágrafo único do referido dispositivo, somente cabe ao juiz invalidar tais convenções</w:t>
      </w:r>
      <w:r w:rsidRPr="001402FC">
        <w:rPr>
          <w:rFonts w:ascii="Times New Roman" w:hAnsi="Times New Roman" w:cs="Times New Roman"/>
          <w:color w:val="000000"/>
          <w:sz w:val="24"/>
          <w:szCs w:val="24"/>
        </w:rPr>
        <w:t xml:space="preserve"> nos casos de nulidade </w:t>
      </w:r>
      <w:r w:rsidR="00EA6826">
        <w:rPr>
          <w:rFonts w:ascii="Times New Roman" w:hAnsi="Times New Roman" w:cs="Times New Roman"/>
          <w:color w:val="000000"/>
          <w:sz w:val="24"/>
          <w:szCs w:val="24"/>
        </w:rPr>
        <w:t xml:space="preserve">(segundo os requisitos do formalismo democrático, do 190 parágrafo único e do 166 CC) </w:t>
      </w:r>
      <w:r w:rsidRPr="001402FC">
        <w:rPr>
          <w:rFonts w:ascii="Times New Roman" w:hAnsi="Times New Roman" w:cs="Times New Roman"/>
          <w:color w:val="000000"/>
          <w:sz w:val="24"/>
          <w:szCs w:val="24"/>
        </w:rPr>
        <w:t>ou de inserção abusiva em contrato de adesão ou em que alguma parte se encontre em manifesta situação de vulnerabilidad</w:t>
      </w:r>
      <w:r w:rsidR="003B358A">
        <w:rPr>
          <w:rFonts w:ascii="Times New Roman" w:hAnsi="Times New Roman" w:cs="Times New Roman"/>
          <w:color w:val="000000"/>
          <w:sz w:val="24"/>
          <w:szCs w:val="24"/>
        </w:rPr>
        <w:t xml:space="preserve">e. Procede-se, assim, à relativização da </w:t>
      </w:r>
      <w:r w:rsidR="007E0BFF">
        <w:rPr>
          <w:rFonts w:ascii="Times New Roman" w:hAnsi="Times New Roman" w:cs="Times New Roman"/>
          <w:color w:val="000000"/>
          <w:sz w:val="24"/>
          <w:szCs w:val="24"/>
        </w:rPr>
        <w:t xml:space="preserve">tradicional </w:t>
      </w:r>
      <w:r w:rsidR="003B358A">
        <w:rPr>
          <w:rFonts w:ascii="Times New Roman" w:hAnsi="Times New Roman" w:cs="Times New Roman"/>
          <w:color w:val="000000"/>
          <w:sz w:val="24"/>
          <w:szCs w:val="24"/>
        </w:rPr>
        <w:t>visão verticalizada impositiva</w:t>
      </w:r>
      <w:r w:rsidR="007E0BFF">
        <w:rPr>
          <w:rFonts w:ascii="Times New Roman" w:hAnsi="Times New Roman" w:cs="Times New Roman"/>
          <w:color w:val="000000"/>
          <w:sz w:val="24"/>
          <w:szCs w:val="24"/>
        </w:rPr>
        <w:t xml:space="preserve"> jurisdicional, agregando um elemento de grande força horizontal</w:t>
      </w:r>
      <w:r w:rsidR="00EA6826">
        <w:rPr>
          <w:rFonts w:ascii="Times New Roman" w:hAnsi="Times New Roman" w:cs="Times New Roman"/>
          <w:color w:val="000000"/>
          <w:sz w:val="24"/>
          <w:szCs w:val="24"/>
        </w:rPr>
        <w:t xml:space="preserve">, movimento este que integra a aproximação do Direito Público e Privado, em sua </w:t>
      </w:r>
      <w:proofErr w:type="spellStart"/>
      <w:r w:rsidR="00EA6826">
        <w:rPr>
          <w:rFonts w:ascii="Times New Roman" w:hAnsi="Times New Roman" w:cs="Times New Roman"/>
          <w:color w:val="000000"/>
          <w:sz w:val="24"/>
          <w:szCs w:val="24"/>
        </w:rPr>
        <w:t>principiologia</w:t>
      </w:r>
      <w:proofErr w:type="spellEnd"/>
      <w:r w:rsidR="00EA6826">
        <w:rPr>
          <w:rFonts w:ascii="Times New Roman" w:hAnsi="Times New Roman" w:cs="Times New Roman"/>
          <w:color w:val="000000"/>
          <w:sz w:val="24"/>
          <w:szCs w:val="24"/>
        </w:rPr>
        <w:t xml:space="preserve"> e funcionamento</w:t>
      </w:r>
      <w:r w:rsidR="007E0B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1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4F40" w:rsidRDefault="00F51C10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 negócio jurídico processual, assim, como negócio jurídico, está sujeito aos planos de existência, validade e eficácia. Pode, portanto, ser inválido e eficaz, inválido e ineficaz, ou válido e ineficaz, uma vez que o negócio jurídico ine</w:t>
      </w:r>
      <w:r w:rsidR="00C71268">
        <w:rPr>
          <w:rFonts w:ascii="Times New Roman" w:hAnsi="Times New Roman" w:cs="Times New Roman"/>
          <w:color w:val="000000"/>
          <w:sz w:val="24"/>
          <w:szCs w:val="24"/>
        </w:rPr>
        <w:t>xistente não é negócio jurídico (pressuposto). Júnior, para o plano da existência, cita como necess</w:t>
      </w:r>
      <w:r w:rsidR="002E4F40">
        <w:rPr>
          <w:rFonts w:ascii="Times New Roman" w:hAnsi="Times New Roman" w:cs="Times New Roman"/>
          <w:color w:val="000000"/>
          <w:sz w:val="24"/>
          <w:szCs w:val="24"/>
        </w:rPr>
        <w:t>ários agentes, vontade,</w:t>
      </w:r>
      <w:r w:rsidR="00C71268">
        <w:rPr>
          <w:rFonts w:ascii="Times New Roman" w:hAnsi="Times New Roman" w:cs="Times New Roman"/>
          <w:color w:val="000000"/>
          <w:sz w:val="24"/>
          <w:szCs w:val="24"/>
        </w:rPr>
        <w:t xml:space="preserve"> autorregulamento </w:t>
      </w:r>
      <w:r w:rsidR="002E4F40">
        <w:rPr>
          <w:rFonts w:ascii="Times New Roman" w:hAnsi="Times New Roman" w:cs="Times New Roman"/>
          <w:color w:val="000000"/>
          <w:sz w:val="24"/>
          <w:szCs w:val="24"/>
        </w:rPr>
        <w:t>da vontade, objeto e</w:t>
      </w:r>
      <w:r w:rsidR="00C71268" w:rsidRPr="002E4F40">
        <w:rPr>
          <w:rFonts w:ascii="Times New Roman" w:hAnsi="Times New Roman" w:cs="Times New Roman"/>
          <w:color w:val="000000"/>
          <w:sz w:val="24"/>
          <w:szCs w:val="24"/>
        </w:rPr>
        <w:t xml:space="preserve"> forma.</w:t>
      </w:r>
      <w:r w:rsidR="003922CF" w:rsidRPr="002E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8F2">
        <w:rPr>
          <w:rFonts w:ascii="Times New Roman" w:hAnsi="Times New Roman" w:cs="Times New Roman"/>
          <w:color w:val="000000"/>
          <w:sz w:val="24"/>
          <w:szCs w:val="24"/>
        </w:rPr>
        <w:t>A vontade processual</w:t>
      </w:r>
      <w:r w:rsidR="000F3C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7AC">
        <w:rPr>
          <w:rFonts w:ascii="Times New Roman" w:hAnsi="Times New Roman" w:cs="Times New Roman"/>
          <w:color w:val="000000"/>
          <w:sz w:val="24"/>
          <w:szCs w:val="24"/>
        </w:rPr>
        <w:t xml:space="preserve">livre, não eivada de vícios e </w:t>
      </w:r>
      <w:r w:rsidR="000F3CF8">
        <w:rPr>
          <w:rFonts w:ascii="Times New Roman" w:hAnsi="Times New Roman" w:cs="Times New Roman"/>
          <w:color w:val="000000"/>
          <w:sz w:val="24"/>
          <w:szCs w:val="24"/>
        </w:rPr>
        <w:t>regulada pela boa-fé objetiva,</w:t>
      </w:r>
      <w:r w:rsidR="00E428F2">
        <w:rPr>
          <w:rFonts w:ascii="Times New Roman" w:hAnsi="Times New Roman" w:cs="Times New Roman"/>
          <w:color w:val="000000"/>
          <w:sz w:val="24"/>
          <w:szCs w:val="24"/>
        </w:rPr>
        <w:t xml:space="preserve"> deverá ser sempre ostensiva e de conhecimento de seu destinatário, ao tempo que o autorregulamento da vontade é mais limitado no processo do que no direito privado, uma vez que muitas vezes seus efeitos já são pré-estabelecidos, ainda</w:t>
      </w:r>
      <w:r w:rsidR="000F3CF8">
        <w:rPr>
          <w:rFonts w:ascii="Times New Roman" w:hAnsi="Times New Roman" w:cs="Times New Roman"/>
          <w:color w:val="000000"/>
          <w:sz w:val="24"/>
          <w:szCs w:val="24"/>
        </w:rPr>
        <w:t xml:space="preserve"> que haja liberdade de escolha.</w:t>
      </w:r>
    </w:p>
    <w:p w:rsidR="000F3CF8" w:rsidRDefault="000F3CF8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validade tem como requisitos o art. 104 CC</w:t>
      </w:r>
      <w:r w:rsidR="007B07AC">
        <w:rPr>
          <w:rFonts w:ascii="Times New Roman" w:hAnsi="Times New Roman" w:cs="Times New Roman"/>
          <w:color w:val="000000"/>
          <w:sz w:val="24"/>
          <w:szCs w:val="24"/>
        </w:rPr>
        <w:t xml:space="preserve">: capacidade do agente, a qual </w:t>
      </w:r>
      <w:r>
        <w:rPr>
          <w:rFonts w:ascii="Times New Roman" w:hAnsi="Times New Roman" w:cs="Times New Roman"/>
          <w:color w:val="000000"/>
          <w:sz w:val="24"/>
          <w:szCs w:val="24"/>
        </w:rPr>
        <w:t>neste caso, também abrange a capacidade processual e a postulatória, além da de ser parte; objeto lícito, possível, determinado ou determinável; forma prescrita ou não defesa em lei. Ademais, exige-se a competência e imparcialidade (não atuar em casos de impedimento e suspeição) do juiz e do Ministério Público.</w:t>
      </w:r>
    </w:p>
    <w:p w:rsidR="007B07AC" w:rsidRDefault="007B07AC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plano da eficácia, </w:t>
      </w:r>
      <w:r w:rsidR="005A0291">
        <w:rPr>
          <w:rFonts w:ascii="Times New Roman" w:hAnsi="Times New Roman" w:cs="Times New Roman"/>
          <w:color w:val="000000"/>
          <w:sz w:val="24"/>
          <w:szCs w:val="24"/>
        </w:rPr>
        <w:t>o negócio jurídico processual pode conte</w:t>
      </w:r>
      <w:r w:rsidR="00DA73E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A0291">
        <w:rPr>
          <w:rFonts w:ascii="Times New Roman" w:hAnsi="Times New Roman" w:cs="Times New Roman"/>
          <w:color w:val="000000"/>
          <w:sz w:val="24"/>
          <w:szCs w:val="24"/>
        </w:rPr>
        <w:t xml:space="preserve"> condição, termo, encargo (modo) e consequências do inadimplemento integral (juros, multas, perdas e danos</w:t>
      </w:r>
      <w:r w:rsidR="005A0291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="005A029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71120">
        <w:rPr>
          <w:rFonts w:ascii="Times New Roman" w:hAnsi="Times New Roman" w:cs="Times New Roman"/>
          <w:color w:val="000000"/>
          <w:sz w:val="24"/>
          <w:szCs w:val="24"/>
        </w:rPr>
        <w:t xml:space="preserve">  A doutrina, porém, se divide acerca da possibilidade do negócio jurídico processual conter condições ou termos: para os contrários, não se pode submeter o acordo processual a um evento futuro, principalmente se incerto; </w:t>
      </w:r>
      <w:proofErr w:type="spellStart"/>
      <w:r w:rsidR="00871120">
        <w:rPr>
          <w:rFonts w:ascii="Times New Roman" w:hAnsi="Times New Roman" w:cs="Times New Roman"/>
          <w:color w:val="000000"/>
          <w:sz w:val="24"/>
          <w:szCs w:val="24"/>
        </w:rPr>
        <w:t>Carnelutti</w:t>
      </w:r>
      <w:proofErr w:type="spellEnd"/>
      <w:r w:rsidR="00871120">
        <w:rPr>
          <w:rFonts w:ascii="Times New Roman" w:hAnsi="Times New Roman" w:cs="Times New Roman"/>
          <w:color w:val="000000"/>
          <w:sz w:val="24"/>
          <w:szCs w:val="24"/>
        </w:rPr>
        <w:t>, buscando solucionar a questão, admitia tal negócio somente nas condições legais, e não nas voluntárias</w:t>
      </w:r>
      <w:r w:rsidR="00871120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4"/>
      </w:r>
      <w:r w:rsidR="00871120">
        <w:rPr>
          <w:rFonts w:ascii="Times New Roman" w:hAnsi="Times New Roman" w:cs="Times New Roman"/>
          <w:color w:val="000000"/>
          <w:sz w:val="24"/>
          <w:szCs w:val="24"/>
        </w:rPr>
        <w:t>. Entretanto, Nogueira</w:t>
      </w:r>
      <w:r w:rsidR="003212F3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5"/>
      </w:r>
      <w:r w:rsidR="00871120">
        <w:rPr>
          <w:rFonts w:ascii="Times New Roman" w:hAnsi="Times New Roman" w:cs="Times New Roman"/>
          <w:color w:val="000000"/>
          <w:sz w:val="24"/>
          <w:szCs w:val="24"/>
        </w:rPr>
        <w:t xml:space="preserve"> vê na suspensão convencional do processo </w:t>
      </w:r>
      <w:r w:rsidR="003212F3">
        <w:rPr>
          <w:rFonts w:ascii="Times New Roman" w:hAnsi="Times New Roman" w:cs="Times New Roman"/>
          <w:color w:val="000000"/>
          <w:sz w:val="24"/>
          <w:szCs w:val="24"/>
        </w:rPr>
        <w:t xml:space="preserve">(art. 313 II CPC) </w:t>
      </w:r>
      <w:r w:rsidR="00871120">
        <w:rPr>
          <w:rFonts w:ascii="Times New Roman" w:hAnsi="Times New Roman" w:cs="Times New Roman"/>
          <w:color w:val="000000"/>
          <w:sz w:val="24"/>
          <w:szCs w:val="24"/>
        </w:rPr>
        <w:t>uma aplicação de condição voluntária aos negócios jurídicos processuais.</w:t>
      </w:r>
    </w:p>
    <w:p w:rsidR="007E48DE" w:rsidRDefault="008F6BBF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Adicionalmente aos critérios acima mencionados, o negócio jurídico deve conter a licitude do motivo determinante, adoção de solenidades que a lei considere essencial à validade do contrato e ausência do objetivo de fraudar a lei imperativa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6"/>
      </w:r>
      <w:r>
        <w:rPr>
          <w:rFonts w:ascii="Times New Roman" w:hAnsi="Times New Roman" w:cs="Times New Roman"/>
          <w:color w:val="000000"/>
          <w:sz w:val="24"/>
          <w:szCs w:val="24"/>
        </w:rPr>
        <w:t>. Nesse sentido, sendo os negócios jurídicos processuais fruto da autonomia da vontade das partes, pode este ser atualizado, situação esta regida imprescindivelmente pelo princípio do contraditório, o qual, para Redondo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é formado por oito aspectos: bilateralidade da audiência (ampla defesa para todos os sujeitos processuais), paridade de armas (equidade, e não simples igualdade, entre 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partes</w:t>
      </w:r>
      <w:r w:rsidR="00FB3373">
        <w:rPr>
          <w:rFonts w:ascii="Times New Roman" w:hAnsi="Times New Roman" w:cs="Times New Roman"/>
          <w:color w:val="000000"/>
          <w:sz w:val="24"/>
          <w:szCs w:val="24"/>
        </w:rPr>
        <w:t>, art. 7º CPC</w:t>
      </w:r>
      <w:r>
        <w:rPr>
          <w:rFonts w:ascii="Times New Roman" w:hAnsi="Times New Roman" w:cs="Times New Roman"/>
          <w:color w:val="000000"/>
          <w:sz w:val="24"/>
          <w:szCs w:val="24"/>
        </w:rPr>
        <w:t>), informação (ampla e geral a todos os sujeitos), possibilidade de reação</w:t>
      </w:r>
      <w:r w:rsidR="00FB3373">
        <w:rPr>
          <w:rFonts w:ascii="Times New Roman" w:hAnsi="Times New Roman" w:cs="Times New Roman"/>
          <w:color w:val="000000"/>
          <w:sz w:val="24"/>
          <w:szCs w:val="24"/>
        </w:rPr>
        <w:t xml:space="preserve"> (manifestação da parte em tempo válido)</w:t>
      </w:r>
      <w:r>
        <w:rPr>
          <w:rFonts w:ascii="Times New Roman" w:hAnsi="Times New Roman" w:cs="Times New Roman"/>
          <w:color w:val="000000"/>
          <w:sz w:val="24"/>
          <w:szCs w:val="24"/>
        </w:rPr>
        <w:t>, possibilidade de influência no resultado (inteligência da dinâmica de forma que a oitiva das partes se dê em momento capaz de alterar sua situação)</w:t>
      </w:r>
      <w:r w:rsidR="00FB3373">
        <w:rPr>
          <w:rFonts w:ascii="Times New Roman" w:hAnsi="Times New Roman" w:cs="Times New Roman"/>
          <w:color w:val="000000"/>
          <w:sz w:val="24"/>
          <w:szCs w:val="24"/>
        </w:rPr>
        <w:t>, direito de ver os argumentos considerados (norma esta positivada no art. 489 § 1º IV CPC), não surpresa para as partes (conforme o art. 10 CPC, o</w:t>
      </w:r>
      <w:r w:rsidR="00FB3373" w:rsidRPr="00FB3373">
        <w:rPr>
          <w:rFonts w:ascii="Times New Roman" w:hAnsi="Times New Roman" w:cs="Times New Roman"/>
          <w:color w:val="000000"/>
          <w:sz w:val="24"/>
          <w:szCs w:val="24"/>
        </w:rPr>
        <w:t xml:space="preserve"> juiz não pode decidir, em grau algum de jurisdição, com base em fundamento a respeito do qual não se tenha dado às partes oportunidade de se manifestar, ainda que se trate de matéria sobre a qual deva decidir de ofício</w:t>
      </w:r>
      <w:r w:rsidR="00FB3373">
        <w:rPr>
          <w:rFonts w:ascii="Times New Roman" w:hAnsi="Times New Roman" w:cs="Times New Roman"/>
          <w:color w:val="000000"/>
          <w:sz w:val="24"/>
          <w:szCs w:val="24"/>
        </w:rPr>
        <w:t>), e observância aos deveres de cooperação, boa-fé e lealdade processuais (presente, entre diversos dispositivos, no art. 5º CPC).</w:t>
      </w:r>
      <w:r w:rsidR="007267CB">
        <w:rPr>
          <w:rFonts w:ascii="Times New Roman" w:hAnsi="Times New Roman" w:cs="Times New Roman"/>
          <w:color w:val="000000"/>
          <w:sz w:val="24"/>
          <w:szCs w:val="24"/>
        </w:rPr>
        <w:t xml:space="preserve"> É dentro da concepção de ‘negociação’ do proced</w:t>
      </w:r>
      <w:r w:rsidR="006905C0">
        <w:rPr>
          <w:rFonts w:ascii="Times New Roman" w:hAnsi="Times New Roman" w:cs="Times New Roman"/>
          <w:color w:val="000000"/>
          <w:sz w:val="24"/>
          <w:szCs w:val="24"/>
        </w:rPr>
        <w:t>imento que o novo CPC estimula uma faceta importante da</w:t>
      </w:r>
      <w:r w:rsidR="007267CB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7E48DE">
        <w:rPr>
          <w:rFonts w:ascii="Times New Roman" w:hAnsi="Times New Roman" w:cs="Times New Roman"/>
          <w:color w:val="000000"/>
          <w:sz w:val="24"/>
          <w:szCs w:val="24"/>
        </w:rPr>
        <w:t>emocracia participativa</w:t>
      </w:r>
      <w:r w:rsidR="006905C0">
        <w:rPr>
          <w:rFonts w:ascii="Times New Roman" w:hAnsi="Times New Roman" w:cs="Times New Roman"/>
          <w:color w:val="000000"/>
          <w:sz w:val="24"/>
          <w:szCs w:val="24"/>
        </w:rPr>
        <w:t>, qual seja, a coparticipação democrática no processo, ao invés do protagonismo judicial</w:t>
      </w:r>
      <w:r w:rsidR="006905C0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8"/>
      </w:r>
      <w:r w:rsidR="006905C0">
        <w:rPr>
          <w:rFonts w:ascii="Times New Roman" w:hAnsi="Times New Roman" w:cs="Times New Roman"/>
          <w:color w:val="000000"/>
          <w:sz w:val="24"/>
          <w:szCs w:val="24"/>
        </w:rPr>
        <w:t xml:space="preserve">, assim reforçando (e não desestabilizando) a segurança jurídica estabelecida pelas próprias partes em seu acordo, uma vez que as medidas personalizadas garantem o maior cumprimento do que foi decidido em comum benefício de ambos os sujeitos processuais. Nesse sentido, há uma menor chance de nulidades processuais, em contraposição à maior economia de tempo e recursos. </w:t>
      </w:r>
    </w:p>
    <w:p w:rsidR="006905C0" w:rsidRDefault="006905C0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Enunciado 257 do Fórum Permanente de Processualistas Civis afirma que o art. 189 autoriza que as partes tanto estipulem mudanças do procedimento quanto convencionem sobre os seus ônus, poderes, faculdades e deveres processuais.</w:t>
      </w:r>
      <w:r w:rsidR="001E469C">
        <w:rPr>
          <w:rFonts w:ascii="Times New Roman" w:hAnsi="Times New Roman" w:cs="Times New Roman"/>
          <w:color w:val="000000"/>
          <w:sz w:val="24"/>
          <w:szCs w:val="24"/>
        </w:rPr>
        <w:t xml:space="preserve"> Assim, e conforme Júnior</w:t>
      </w:r>
      <w:r w:rsidR="001E469C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="001E469C">
        <w:rPr>
          <w:rFonts w:ascii="Times New Roman" w:hAnsi="Times New Roman" w:cs="Times New Roman"/>
          <w:color w:val="000000"/>
          <w:sz w:val="24"/>
          <w:szCs w:val="24"/>
        </w:rPr>
        <w:t xml:space="preserve">, o CPC permite que sejam firmados negócios jurídicos processuais típicos, como a </w:t>
      </w:r>
      <w:proofErr w:type="spellStart"/>
      <w:r w:rsidR="001E469C">
        <w:rPr>
          <w:rFonts w:ascii="Times New Roman" w:hAnsi="Times New Roman" w:cs="Times New Roman"/>
          <w:color w:val="000000"/>
          <w:sz w:val="24"/>
          <w:szCs w:val="24"/>
        </w:rPr>
        <w:t>calendarização</w:t>
      </w:r>
      <w:proofErr w:type="spellEnd"/>
      <w:r w:rsidR="001E469C">
        <w:rPr>
          <w:rFonts w:ascii="Times New Roman" w:hAnsi="Times New Roman" w:cs="Times New Roman"/>
          <w:color w:val="000000"/>
          <w:sz w:val="24"/>
          <w:szCs w:val="24"/>
        </w:rPr>
        <w:t xml:space="preserve"> (art. 191), os acordos de saneamento (art. 357, §§ 2º e 3º), a redução consensual de prazos (art. 222 § 1º), escolha convencional de peritos (art. 471), e a cláusula geral de negociação processual (art. 190).</w:t>
      </w:r>
      <w:r w:rsidR="0018568C">
        <w:rPr>
          <w:rFonts w:ascii="Times New Roman" w:hAnsi="Times New Roman" w:cs="Times New Roman"/>
          <w:color w:val="000000"/>
          <w:sz w:val="24"/>
          <w:szCs w:val="24"/>
        </w:rPr>
        <w:t xml:space="preserve"> Nesta nova seara, é fundamental “suplantar o paradoxo </w:t>
      </w:r>
      <w:proofErr w:type="spellStart"/>
      <w:r w:rsidR="0018568C">
        <w:rPr>
          <w:rFonts w:ascii="Times New Roman" w:hAnsi="Times New Roman" w:cs="Times New Roman"/>
          <w:color w:val="000000"/>
          <w:sz w:val="24"/>
          <w:szCs w:val="24"/>
        </w:rPr>
        <w:t>estatalismo</w:t>
      </w:r>
      <w:proofErr w:type="spellEnd"/>
      <w:r w:rsidR="0018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versus </w:t>
      </w:r>
      <w:proofErr w:type="spellStart"/>
      <w:r w:rsidR="0018568C">
        <w:rPr>
          <w:rFonts w:ascii="Times New Roman" w:hAnsi="Times New Roman" w:cs="Times New Roman"/>
          <w:color w:val="000000"/>
          <w:sz w:val="24"/>
          <w:szCs w:val="24"/>
        </w:rPr>
        <w:t>privativismo</w:t>
      </w:r>
      <w:proofErr w:type="spellEnd"/>
      <w:r w:rsidR="0018568C">
        <w:rPr>
          <w:rFonts w:ascii="Times New Roman" w:hAnsi="Times New Roman" w:cs="Times New Roman"/>
          <w:color w:val="000000"/>
          <w:sz w:val="24"/>
          <w:szCs w:val="24"/>
        </w:rPr>
        <w:t xml:space="preserve"> para chegarmos a uma interpretação democrática dos negócios processuais</w:t>
      </w:r>
      <w:r w:rsidR="0018568C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0"/>
      </w:r>
      <w:r w:rsidR="001856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C5F21">
        <w:rPr>
          <w:rFonts w:ascii="Times New Roman" w:hAnsi="Times New Roman" w:cs="Times New Roman"/>
          <w:color w:val="000000"/>
          <w:sz w:val="24"/>
          <w:szCs w:val="24"/>
        </w:rPr>
        <w:t>, principalmente no acordo de distribuição do ônus da prova, negócio jurídico que pode ser autônomo e realizado extra ou judicialmente, estando sujeito à invalidação caso incida no art. 373 § 3º I e II, recair sobre direito indisponível da parte ou tornar excessivamente difícil a uma parte o exercício do direito.</w:t>
      </w:r>
      <w:r w:rsidR="006C735D">
        <w:rPr>
          <w:rFonts w:ascii="Times New Roman" w:hAnsi="Times New Roman" w:cs="Times New Roman"/>
          <w:color w:val="000000"/>
          <w:sz w:val="24"/>
          <w:szCs w:val="24"/>
        </w:rPr>
        <w:t xml:space="preserve"> Além dos negócios típicos, a cláusula geral do art. 190 permite também intervenções atípicas</w:t>
      </w:r>
      <w:r w:rsidR="00907ED4">
        <w:rPr>
          <w:rFonts w:ascii="Times New Roman" w:hAnsi="Times New Roman" w:cs="Times New Roman"/>
          <w:color w:val="000000"/>
          <w:sz w:val="24"/>
          <w:szCs w:val="24"/>
        </w:rPr>
        <w:t>, mediante a intervenção de terceiros (não interessados) negociada e a negociação das regras delineadas para as intervenções típicas</w:t>
      </w:r>
      <w:r w:rsidR="00B11844">
        <w:rPr>
          <w:rFonts w:ascii="Times New Roman" w:hAnsi="Times New Roman" w:cs="Times New Roman"/>
          <w:color w:val="000000"/>
          <w:sz w:val="24"/>
          <w:szCs w:val="24"/>
        </w:rPr>
        <w:t xml:space="preserve"> (as quais, mediante tal personalização, tornam-se atípicas). </w:t>
      </w:r>
    </w:p>
    <w:p w:rsidR="00B11844" w:rsidRDefault="00B11844" w:rsidP="00254A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É mister, assim, ressaltar que, para o negócio jurídico processual ser válido, este deve incidir sobre procedimentos que admitem a autocomposição, sendo estabelecido por sujeitos processuais capazes em posições de equidade, razão pela qual é vedado o negócio pré-estipulado em contratos de adesão ou que denotem vulnerabilidade de uma das partes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1"/>
      </w:r>
      <w:r>
        <w:rPr>
          <w:rFonts w:ascii="Times New Roman" w:hAnsi="Times New Roman" w:cs="Times New Roman"/>
          <w:color w:val="000000"/>
          <w:sz w:val="24"/>
          <w:szCs w:val="24"/>
        </w:rPr>
        <w:t>. Assim, o papel do juiz</w:t>
      </w:r>
      <w:r w:rsidR="006F0089">
        <w:rPr>
          <w:rFonts w:ascii="Times New Roman" w:hAnsi="Times New Roman" w:cs="Times New Roman"/>
          <w:color w:val="000000"/>
          <w:sz w:val="24"/>
          <w:szCs w:val="24"/>
        </w:rPr>
        <w:t xml:space="preserve"> perante tais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negócios</w:t>
      </w:r>
      <w:r w:rsidR="006F0089">
        <w:rPr>
          <w:rFonts w:ascii="Times New Roman" w:hAnsi="Times New Roman" w:cs="Times New Roman"/>
          <w:color w:val="000000"/>
          <w:sz w:val="24"/>
          <w:szCs w:val="24"/>
        </w:rPr>
        <w:t>, garantidores de uma autonomia das partes inovadora,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seria o de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management, </w:t>
      </w:r>
      <w:r w:rsidR="006F0089">
        <w:rPr>
          <w:rFonts w:ascii="Times New Roman" w:hAnsi="Times New Roman" w:cs="Times New Roman"/>
          <w:color w:val="000000"/>
          <w:sz w:val="24"/>
          <w:szCs w:val="24"/>
        </w:rPr>
        <w:t>mediante a verificação da viabilidade e custo-benefício dos acordos realizados</w:t>
      </w:r>
      <w:r w:rsidR="006002B8">
        <w:rPr>
          <w:rFonts w:ascii="Times New Roman" w:hAnsi="Times New Roman" w:cs="Times New Roman"/>
          <w:color w:val="000000"/>
          <w:sz w:val="24"/>
          <w:szCs w:val="24"/>
        </w:rPr>
        <w:t xml:space="preserve">, principalmente na </w:t>
      </w:r>
      <w:proofErr w:type="spellStart"/>
      <w:r w:rsidR="006002B8">
        <w:rPr>
          <w:rFonts w:ascii="Times New Roman" w:hAnsi="Times New Roman" w:cs="Times New Roman"/>
          <w:color w:val="000000"/>
          <w:sz w:val="24"/>
          <w:szCs w:val="24"/>
        </w:rPr>
        <w:t>calendarização</w:t>
      </w:r>
      <w:proofErr w:type="spellEnd"/>
      <w:r w:rsidR="006002B8">
        <w:rPr>
          <w:rFonts w:ascii="Times New Roman" w:hAnsi="Times New Roman" w:cs="Times New Roman"/>
          <w:color w:val="000000"/>
          <w:sz w:val="24"/>
          <w:szCs w:val="24"/>
        </w:rPr>
        <w:t xml:space="preserve">, a qual, se bem feita e acompanhada, gera grande crescimento na eficiência e economia do processo, eliminando os tempos mortos ao mesmo tempo que possibilitando </w:t>
      </w:r>
      <w:r w:rsidR="003269A2">
        <w:rPr>
          <w:rFonts w:ascii="Times New Roman" w:hAnsi="Times New Roman" w:cs="Times New Roman"/>
          <w:color w:val="000000"/>
          <w:sz w:val="24"/>
          <w:szCs w:val="24"/>
        </w:rPr>
        <w:t xml:space="preserve">às partes </w:t>
      </w:r>
      <w:r w:rsidR="006002B8">
        <w:rPr>
          <w:rFonts w:ascii="Times New Roman" w:hAnsi="Times New Roman" w:cs="Times New Roman"/>
          <w:color w:val="000000"/>
          <w:sz w:val="24"/>
          <w:szCs w:val="24"/>
        </w:rPr>
        <w:t>maior segurança jurídica</w:t>
      </w:r>
      <w:r w:rsidR="003269A2">
        <w:rPr>
          <w:rFonts w:ascii="Times New Roman" w:hAnsi="Times New Roman" w:cs="Times New Roman"/>
          <w:color w:val="000000"/>
          <w:sz w:val="24"/>
          <w:szCs w:val="24"/>
        </w:rPr>
        <w:t xml:space="preserve"> (previsibilidade da duração do processo)</w:t>
      </w:r>
      <w:r w:rsidR="006002B8">
        <w:rPr>
          <w:rFonts w:ascii="Times New Roman" w:hAnsi="Times New Roman" w:cs="Times New Roman"/>
          <w:color w:val="000000"/>
          <w:sz w:val="24"/>
          <w:szCs w:val="24"/>
        </w:rPr>
        <w:t xml:space="preserve"> e o tempo razoável, personalizado para cada caso, para a produção de provas</w:t>
      </w:r>
      <w:r w:rsidR="005B77DB">
        <w:rPr>
          <w:rFonts w:ascii="Times New Roman" w:hAnsi="Times New Roman" w:cs="Times New Roman"/>
          <w:color w:val="000000"/>
          <w:sz w:val="24"/>
          <w:szCs w:val="24"/>
        </w:rPr>
        <w:t>, concretizando a gestão processual participativa</w:t>
      </w:r>
      <w:r w:rsidR="006002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9A2">
        <w:rPr>
          <w:rFonts w:ascii="Times New Roman" w:hAnsi="Times New Roman" w:cs="Times New Roman"/>
          <w:color w:val="000000"/>
          <w:sz w:val="24"/>
          <w:szCs w:val="24"/>
        </w:rPr>
        <w:t xml:space="preserve"> Nesse sentido:</w:t>
      </w:r>
    </w:p>
    <w:p w:rsidR="003269A2" w:rsidRDefault="003269A2" w:rsidP="003269A2">
      <w:pPr>
        <w:spacing w:line="240" w:lineRule="auto"/>
        <w:ind w:left="226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9A2">
        <w:rPr>
          <w:rFonts w:ascii="Times New Roman" w:hAnsi="Times New Roman" w:cs="Times New Roman"/>
          <w:color w:val="000000"/>
          <w:sz w:val="20"/>
          <w:szCs w:val="20"/>
        </w:rPr>
        <w:t>“O calendário é fixado em cada processo de acordo com as peculiaridades da causa concretamente considerada: não se trata de mera atividade arbitrária do juiz, mas s</w:t>
      </w:r>
      <w:r w:rsidR="00945FFF">
        <w:rPr>
          <w:rFonts w:ascii="Times New Roman" w:hAnsi="Times New Roman" w:cs="Times New Roman"/>
          <w:color w:val="000000"/>
          <w:sz w:val="20"/>
          <w:szCs w:val="20"/>
        </w:rPr>
        <w:t>im realizada em consonância, por</w:t>
      </w:r>
      <w:r w:rsidRPr="003269A2">
        <w:rPr>
          <w:rFonts w:ascii="Times New Roman" w:hAnsi="Times New Roman" w:cs="Times New Roman"/>
          <w:color w:val="000000"/>
          <w:sz w:val="20"/>
          <w:szCs w:val="20"/>
        </w:rPr>
        <w:t xml:space="preserve"> exemplo, com a natureza da lide, urgência na solução da controvérsia, bem como sua complexidade, situação que, como aponta a doutrina italiana, mostra que o estabelecimento do calendário não é simples. O instrumento, para funcionar, vai exigir certamente maior engajamento do juiz, principalmente a análise mais acurada do conteúdo do processo no início de sua tramitação” (ANDRADE, </w:t>
      </w:r>
      <w:proofErr w:type="spellStart"/>
      <w:r w:rsidRPr="003269A2">
        <w:rPr>
          <w:rFonts w:ascii="Times New Roman" w:hAnsi="Times New Roman" w:cs="Times New Roman"/>
          <w:i/>
          <w:color w:val="000000"/>
          <w:sz w:val="20"/>
          <w:szCs w:val="20"/>
        </w:rPr>
        <w:t>aput</w:t>
      </w:r>
      <w:proofErr w:type="spellEnd"/>
      <w:r w:rsidRPr="003269A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269A2">
        <w:rPr>
          <w:rFonts w:ascii="Times New Roman" w:hAnsi="Times New Roman" w:cs="Times New Roman"/>
          <w:color w:val="000000"/>
          <w:sz w:val="20"/>
          <w:szCs w:val="20"/>
        </w:rPr>
        <w:t>em JÚNIOR, p. 297).</w:t>
      </w:r>
    </w:p>
    <w:p w:rsidR="00D23FAC" w:rsidRDefault="00945FFF" w:rsidP="00D23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negócio processual não se limita às questões materiais, podendo também incidir sobre atos procedimentais de cunho puramente processual, como a eleição consensual de foro. Ressalta-se, ainda, os enunciados do Fórum Permanente de Processualistas Civis de número 134, “negócio jurídico processual pode ser invalidado parcialmente”, e 255, “é admissível a celebração de convenção processual coletiva”. </w:t>
      </w:r>
    </w:p>
    <w:p w:rsidR="00D23FAC" w:rsidRPr="00D23FAC" w:rsidRDefault="00D23FAC" w:rsidP="00D23F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 Conclusão</w:t>
      </w:r>
    </w:p>
    <w:p w:rsidR="00945FFF" w:rsidRDefault="00945FFF" w:rsidP="00945F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inovações tra</w:t>
      </w:r>
      <w:r w:rsidR="00D23FAC">
        <w:rPr>
          <w:rFonts w:ascii="Times New Roman" w:hAnsi="Times New Roman" w:cs="Times New Roman"/>
          <w:sz w:val="24"/>
          <w:szCs w:val="24"/>
        </w:rPr>
        <w:t>zidas pelo novo CPC seguem uma tendência mundial marcada pela transição de um modelo processual rígido, verticalizado, formal, moroso, passivo e litigioso para uma visão do processo como diálogo dinâmico e consensual entre as partes e o juiz em posição horizontalizada, em um contexto coparticipativo com viés de informalidade, que busque alcançar um procedimento mais eficiente e econômico</w:t>
      </w:r>
      <w:r w:rsidR="0041325C">
        <w:rPr>
          <w:rFonts w:ascii="Times New Roman" w:hAnsi="Times New Roman" w:cs="Times New Roman"/>
          <w:sz w:val="24"/>
          <w:szCs w:val="24"/>
        </w:rPr>
        <w:t xml:space="preserve"> e que para isso depende de uma posição ativa das partes voltada à cooperação processual, com a qual podem flexibilizar e personalizar questões materiais e processuais de sua lide. Nesse contexto, valoriza-se e praticamente obriga-se a conciliação e a mediação para os casos em que estas se aplicam, uma </w:t>
      </w:r>
      <w:r w:rsidR="0041325C">
        <w:rPr>
          <w:rFonts w:ascii="Times New Roman" w:hAnsi="Times New Roman" w:cs="Times New Roman"/>
          <w:sz w:val="24"/>
          <w:szCs w:val="24"/>
        </w:rPr>
        <w:lastRenderedPageBreak/>
        <w:t xml:space="preserve">vez que ambas as partes devem se manifestar contra o instituto para que não se realize o acordo conciliatório. </w:t>
      </w:r>
    </w:p>
    <w:p w:rsidR="007D2DED" w:rsidRDefault="007D2DED" w:rsidP="00945F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o sistema de multiportas trazido pelo novo CPC viabiliza</w:t>
      </w:r>
      <w:r w:rsidR="00CC1F75">
        <w:rPr>
          <w:rFonts w:ascii="Times New Roman" w:hAnsi="Times New Roman" w:cs="Times New Roman"/>
          <w:sz w:val="24"/>
          <w:szCs w:val="24"/>
        </w:rPr>
        <w:t xml:space="preserve">, através do </w:t>
      </w:r>
      <w:proofErr w:type="spellStart"/>
      <w:r w:rsidR="00CC1F75">
        <w:rPr>
          <w:rFonts w:ascii="Times New Roman" w:hAnsi="Times New Roman" w:cs="Times New Roman"/>
          <w:i/>
          <w:sz w:val="24"/>
          <w:szCs w:val="24"/>
        </w:rPr>
        <w:t>screening</w:t>
      </w:r>
      <w:proofErr w:type="spellEnd"/>
      <w:r w:rsidR="00CC1F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F75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="00CC1F7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 acesso amplo à justiça, não se atendo ao tribunal somente, </w:t>
      </w:r>
      <w:r w:rsidR="00CC1F75">
        <w:rPr>
          <w:rFonts w:ascii="Times New Roman" w:hAnsi="Times New Roman" w:cs="Times New Roman"/>
          <w:sz w:val="24"/>
          <w:szCs w:val="24"/>
        </w:rPr>
        <w:t>que se constitui no novo modelo como</w:t>
      </w:r>
      <w:r>
        <w:rPr>
          <w:rFonts w:ascii="Times New Roman" w:hAnsi="Times New Roman" w:cs="Times New Roman"/>
          <w:sz w:val="24"/>
          <w:szCs w:val="24"/>
        </w:rPr>
        <w:t xml:space="preserve"> a última opção, mas sim confiando a jurisdição a </w:t>
      </w:r>
      <w:r>
        <w:rPr>
          <w:rFonts w:ascii="Times New Roman" w:hAnsi="Times New Roman" w:cs="Times New Roman"/>
          <w:color w:val="000000"/>
          <w:sz w:val="24"/>
          <w:szCs w:val="24"/>
        </w:rPr>
        <w:t>centros judiciários de solução consensual de conflitos, que funcionem sem prejuízo às câmaras privadas de conciliação e mediação</w:t>
      </w:r>
      <w:r w:rsidR="00CC1F75">
        <w:rPr>
          <w:rFonts w:ascii="Times New Roman" w:hAnsi="Times New Roman" w:cs="Times New Roman"/>
          <w:color w:val="000000"/>
          <w:sz w:val="24"/>
          <w:szCs w:val="24"/>
        </w:rPr>
        <w:t>. Busca-se, assim, uma maior variedade de acesso à justiça que sirva melhor a cada cidadão em seu litígio específico, afastando a visão da obrigatoriedade do tribunal e o necessário prolongamento moroso de questões simples.</w:t>
      </w:r>
    </w:p>
    <w:p w:rsidR="009F6A25" w:rsidRDefault="00CE049E" w:rsidP="00945F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Nesse contexto, permitir que as partes regulem seu próprio processo, em questões materiais e processuais, é um avanço que busca garantir ao processo maior eficiência, economia e segurança jurídica, e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imprescinde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uma posição dialógica das partes, abandonando a tradicional visão do processo como uma luta na qual não existem meios-termos. O que o art. 190 req</w:t>
      </w:r>
      <w:r w:rsidR="00BE1680">
        <w:rPr>
          <w:rFonts w:ascii="Times New Roman" w:hAnsi="Times New Roman" w:cs="Times New Roman"/>
          <w:color w:val="000000"/>
          <w:sz w:val="24"/>
          <w:szCs w:val="24"/>
        </w:rPr>
        <w:t>uer e possibilita é a concretização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democracia participativa através da </w:t>
      </w:r>
      <w:r w:rsidR="00BE1680">
        <w:rPr>
          <w:rFonts w:ascii="Times New Roman" w:hAnsi="Times New Roman" w:cs="Times New Roman"/>
          <w:color w:val="000000"/>
          <w:sz w:val="24"/>
          <w:szCs w:val="24"/>
        </w:rPr>
        <w:t>coparticipação democrática no processo, mediante a garantia à autonomia das partes da personalização de seu próprio processo através de negócios jurídicos processuais válidos e eficazes</w:t>
      </w:r>
      <w:r w:rsidR="00247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6A25">
        <w:rPr>
          <w:rFonts w:ascii="Times New Roman" w:hAnsi="Times New Roman" w:cs="Times New Roman"/>
          <w:color w:val="000000"/>
          <w:sz w:val="24"/>
          <w:szCs w:val="24"/>
        </w:rPr>
        <w:t xml:space="preserve">Para Júnior, “o instituto dos negócios processuais traz, portanto, uma oportunidade de desenvolvimento de um papel mais ativo para as partes, reforçando um modelo </w:t>
      </w:r>
      <w:proofErr w:type="spellStart"/>
      <w:r w:rsidR="009F6A25">
        <w:rPr>
          <w:rFonts w:ascii="Times New Roman" w:hAnsi="Times New Roman" w:cs="Times New Roman"/>
          <w:color w:val="000000"/>
          <w:sz w:val="24"/>
          <w:szCs w:val="24"/>
        </w:rPr>
        <w:t>comparticipativo</w:t>
      </w:r>
      <w:proofErr w:type="spellEnd"/>
      <w:r w:rsidR="009F6A25">
        <w:rPr>
          <w:rFonts w:ascii="Times New Roman" w:hAnsi="Times New Roman" w:cs="Times New Roman"/>
          <w:color w:val="000000"/>
          <w:sz w:val="24"/>
          <w:szCs w:val="24"/>
        </w:rPr>
        <w:t xml:space="preserve"> de processo, sem, contudo, recair num (neo) liberalismo processual</w:t>
      </w:r>
      <w:r w:rsidR="009F6A25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2"/>
      </w:r>
      <w:r w:rsidR="009F6A2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47AB0" w:rsidRDefault="00247AB0" w:rsidP="00945F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mudanças trazidas têm grande potencial para criar um sistema dinâmico e mais eficiente, porém a experiência dirá se a cultura processual brasileira está capacitada para aceitar tal mudança de paradigma, uma vez que nenhum dos institutos do novo CPC terá qualquer eficiência caso as partes, seus advogados e os juízes </w:t>
      </w:r>
      <w:r w:rsidR="009F6A25">
        <w:rPr>
          <w:rFonts w:ascii="Times New Roman" w:hAnsi="Times New Roman" w:cs="Times New Roman"/>
          <w:color w:val="000000"/>
          <w:sz w:val="24"/>
          <w:szCs w:val="24"/>
        </w:rPr>
        <w:t xml:space="preserve">não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proponham a adotar uma postura </w:t>
      </w:r>
      <w:r w:rsidR="009F6A25">
        <w:rPr>
          <w:rFonts w:ascii="Times New Roman" w:hAnsi="Times New Roman" w:cs="Times New Roman"/>
          <w:color w:val="000000"/>
          <w:sz w:val="24"/>
          <w:szCs w:val="24"/>
        </w:rPr>
        <w:t xml:space="preserve">discursiva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conciliatória e participativa que veja no diálogo a melhor forma de resolução dos conflitos. Deve-se, portanto, abandonar o tradicional rigor judicial quase autoritário e estabelecer uma dinâmica horizontalizada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flexibilizável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consenso, focada no formalismo democrático</w:t>
      </w:r>
      <w:r w:rsidR="009F6A25">
        <w:rPr>
          <w:rFonts w:ascii="Times New Roman" w:hAnsi="Times New Roman" w:cs="Times New Roman"/>
          <w:color w:val="000000"/>
          <w:sz w:val="24"/>
          <w:szCs w:val="24"/>
        </w:rPr>
        <w:t xml:space="preserve"> pós-positivista e auxiliada pelos princípios regentes de uma ordem jurídica justa e equitativa, como ampla defesa, devido processo legal, dignidade da pessoa humana e isonomia.</w:t>
      </w:r>
    </w:p>
    <w:p w:rsidR="009F6A25" w:rsidRPr="007D2DED" w:rsidRDefault="009F6A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F6A25" w:rsidRPr="007D2DED" w:rsidSect="007A23D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F8" w:rsidRDefault="00972FF8" w:rsidP="00E926A3">
      <w:pPr>
        <w:spacing w:after="0" w:line="240" w:lineRule="auto"/>
      </w:pPr>
      <w:r>
        <w:separator/>
      </w:r>
    </w:p>
  </w:endnote>
  <w:endnote w:type="continuationSeparator" w:id="0">
    <w:p w:rsidR="00972FF8" w:rsidRDefault="00972FF8" w:rsidP="00E9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F8" w:rsidRDefault="00972FF8" w:rsidP="00E926A3">
      <w:pPr>
        <w:spacing w:after="0" w:line="240" w:lineRule="auto"/>
      </w:pPr>
      <w:r>
        <w:separator/>
      </w:r>
    </w:p>
  </w:footnote>
  <w:footnote w:type="continuationSeparator" w:id="0">
    <w:p w:rsidR="00972FF8" w:rsidRDefault="00972FF8" w:rsidP="00E926A3">
      <w:pPr>
        <w:spacing w:after="0" w:line="240" w:lineRule="auto"/>
      </w:pPr>
      <w:r>
        <w:continuationSeparator/>
      </w:r>
    </w:p>
  </w:footnote>
  <w:footnote w:id="1">
    <w:p w:rsidR="007E48DE" w:rsidRPr="00E926A3" w:rsidRDefault="007E48DE">
      <w:pPr>
        <w:pStyle w:val="Textodenotaderodap"/>
        <w:rPr>
          <w:rFonts w:ascii="Times New Roman" w:hAnsi="Times New Roman" w:cs="Times New Roman"/>
        </w:rPr>
      </w:pPr>
      <w:r w:rsidRPr="007344C1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JÚNIOR, Humberto Theodoro. </w:t>
      </w:r>
      <w:r>
        <w:rPr>
          <w:rFonts w:ascii="Times New Roman" w:hAnsi="Times New Roman" w:cs="Times New Roman"/>
          <w:b/>
        </w:rPr>
        <w:t xml:space="preserve">Novo CPC- Fundamentos e Sistematização. </w:t>
      </w:r>
      <w:r>
        <w:rPr>
          <w:rFonts w:ascii="Times New Roman" w:hAnsi="Times New Roman" w:cs="Times New Roman"/>
        </w:rPr>
        <w:t xml:space="preserve">2ª ed. ver., atual. e </w:t>
      </w:r>
      <w:proofErr w:type="spellStart"/>
      <w:r>
        <w:rPr>
          <w:rFonts w:ascii="Times New Roman" w:hAnsi="Times New Roman" w:cs="Times New Roman"/>
        </w:rPr>
        <w:t>ampl</w:t>
      </w:r>
      <w:proofErr w:type="spellEnd"/>
      <w:r>
        <w:rPr>
          <w:rFonts w:ascii="Times New Roman" w:hAnsi="Times New Roman" w:cs="Times New Roman"/>
        </w:rPr>
        <w:t>. Rio de Janeiro: Forense, 215, p. 241.</w:t>
      </w:r>
    </w:p>
  </w:footnote>
  <w:footnote w:id="2">
    <w:p w:rsidR="007E48DE" w:rsidRPr="007344C1" w:rsidRDefault="007E48DE">
      <w:pPr>
        <w:pStyle w:val="Textodenotaderodap"/>
        <w:rPr>
          <w:rFonts w:ascii="Times New Roman" w:hAnsi="Times New Roman" w:cs="Times New Roman"/>
        </w:rPr>
      </w:pPr>
      <w:r w:rsidRPr="007344C1">
        <w:rPr>
          <w:rStyle w:val="Refdenotaderodap"/>
          <w:rFonts w:ascii="Times New Roman" w:hAnsi="Times New Roman" w:cs="Times New Roman"/>
        </w:rPr>
        <w:footnoteRef/>
      </w:r>
      <w:r w:rsidRPr="00734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Idem, </w:t>
      </w:r>
      <w:r>
        <w:rPr>
          <w:rFonts w:ascii="Times New Roman" w:hAnsi="Times New Roman" w:cs="Times New Roman"/>
        </w:rPr>
        <w:t>p. 242.</w:t>
      </w:r>
    </w:p>
  </w:footnote>
  <w:footnote w:id="3">
    <w:p w:rsidR="007E48DE" w:rsidRPr="00D07E10" w:rsidRDefault="007E48DE">
      <w:pPr>
        <w:pStyle w:val="Textodenotaderodap"/>
        <w:rPr>
          <w:rFonts w:ascii="Times New Roman" w:hAnsi="Times New Roman" w:cs="Times New Roman"/>
        </w:rPr>
      </w:pPr>
      <w:r w:rsidRPr="00D07E10">
        <w:rPr>
          <w:rStyle w:val="Refdenotaderodap"/>
          <w:rFonts w:ascii="Times New Roman" w:hAnsi="Times New Roman" w:cs="Times New Roman"/>
        </w:rPr>
        <w:footnoteRef/>
      </w:r>
      <w:r w:rsidRPr="00D07E10">
        <w:rPr>
          <w:rFonts w:ascii="Times New Roman" w:hAnsi="Times New Roman" w:cs="Times New Roman"/>
        </w:rPr>
        <w:t xml:space="preserve"> </w:t>
      </w:r>
      <w:r w:rsidRPr="00D07E10">
        <w:rPr>
          <w:rFonts w:ascii="Times New Roman" w:hAnsi="Times New Roman" w:cs="Times New Roman"/>
          <w:i/>
        </w:rPr>
        <w:t xml:space="preserve">Idem, </w:t>
      </w:r>
      <w:r w:rsidRPr="00D07E10">
        <w:rPr>
          <w:rFonts w:ascii="Times New Roman" w:hAnsi="Times New Roman" w:cs="Times New Roman"/>
        </w:rPr>
        <w:t>p. 244.</w:t>
      </w:r>
    </w:p>
  </w:footnote>
  <w:footnote w:id="4">
    <w:p w:rsidR="007E48DE" w:rsidRPr="00E01418" w:rsidRDefault="007E48DE">
      <w:pPr>
        <w:pStyle w:val="Textodenotaderodap"/>
        <w:rPr>
          <w:rFonts w:ascii="Times New Roman" w:hAnsi="Times New Roman" w:cs="Times New Roman"/>
          <w:i/>
        </w:rPr>
      </w:pPr>
      <w:r w:rsidRPr="00E01418">
        <w:rPr>
          <w:rStyle w:val="Refdenotaderodap"/>
          <w:rFonts w:ascii="Times New Roman" w:hAnsi="Times New Roman" w:cs="Times New Roman"/>
        </w:rPr>
        <w:footnoteRef/>
      </w:r>
      <w:r w:rsidRPr="00E01418">
        <w:rPr>
          <w:rFonts w:ascii="Times New Roman" w:hAnsi="Times New Roman" w:cs="Times New Roman"/>
        </w:rPr>
        <w:t xml:space="preserve"> </w:t>
      </w:r>
      <w:r w:rsidRPr="00E01418">
        <w:rPr>
          <w:rFonts w:ascii="Times New Roman" w:hAnsi="Times New Roman" w:cs="Times New Roman"/>
          <w:i/>
        </w:rPr>
        <w:t xml:space="preserve">Idem, </w:t>
      </w:r>
      <w:r w:rsidRPr="00E01418">
        <w:rPr>
          <w:rFonts w:ascii="Times New Roman" w:hAnsi="Times New Roman" w:cs="Times New Roman"/>
        </w:rPr>
        <w:t>p. 245.</w:t>
      </w:r>
    </w:p>
  </w:footnote>
  <w:footnote w:id="5">
    <w:p w:rsidR="007E48DE" w:rsidRPr="00E44F93" w:rsidRDefault="007E48DE">
      <w:pPr>
        <w:pStyle w:val="Textodenotaderodap"/>
        <w:rPr>
          <w:rFonts w:ascii="Times New Roman" w:hAnsi="Times New Roman" w:cs="Times New Roman"/>
        </w:rPr>
      </w:pPr>
      <w:r w:rsidRPr="00E44F93">
        <w:rPr>
          <w:rStyle w:val="Refdenotaderodap"/>
          <w:rFonts w:ascii="Times New Roman" w:hAnsi="Times New Roman" w:cs="Times New Roman"/>
        </w:rPr>
        <w:footnoteRef/>
      </w:r>
      <w:r w:rsidRPr="00E44F93">
        <w:rPr>
          <w:rFonts w:ascii="Times New Roman" w:hAnsi="Times New Roman" w:cs="Times New Roman"/>
        </w:rPr>
        <w:t xml:space="preserve"> </w:t>
      </w:r>
      <w:r w:rsidRPr="00E44F93">
        <w:rPr>
          <w:rFonts w:ascii="Times New Roman" w:hAnsi="Times New Roman" w:cs="Times New Roman"/>
          <w:i/>
        </w:rPr>
        <w:t xml:space="preserve">Idem, </w:t>
      </w:r>
      <w:r w:rsidRPr="00E44F93">
        <w:rPr>
          <w:rFonts w:ascii="Times New Roman" w:hAnsi="Times New Roman" w:cs="Times New Roman"/>
        </w:rPr>
        <w:t>p.248.</w:t>
      </w:r>
    </w:p>
  </w:footnote>
  <w:footnote w:id="6">
    <w:p w:rsidR="007E48DE" w:rsidRPr="00E44F93" w:rsidRDefault="007E48DE">
      <w:pPr>
        <w:pStyle w:val="Textodenotaderodap"/>
      </w:pPr>
      <w:r w:rsidRPr="00E44F93">
        <w:rPr>
          <w:rStyle w:val="Refdenotaderodap"/>
          <w:rFonts w:ascii="Times New Roman" w:hAnsi="Times New Roman" w:cs="Times New Roman"/>
        </w:rPr>
        <w:footnoteRef/>
      </w:r>
      <w:r w:rsidRPr="00E44F93">
        <w:rPr>
          <w:rFonts w:ascii="Times New Roman" w:hAnsi="Times New Roman" w:cs="Times New Roman"/>
        </w:rPr>
        <w:t xml:space="preserve"> </w:t>
      </w:r>
      <w:r w:rsidRPr="00E44F93">
        <w:rPr>
          <w:rFonts w:ascii="Times New Roman" w:hAnsi="Times New Roman" w:cs="Times New Roman"/>
          <w:i/>
        </w:rPr>
        <w:t xml:space="preserve">Idem, </w:t>
      </w:r>
      <w:r w:rsidRPr="00E44F93">
        <w:rPr>
          <w:rFonts w:ascii="Times New Roman" w:hAnsi="Times New Roman" w:cs="Times New Roman"/>
        </w:rPr>
        <w:t>p.255.</w:t>
      </w:r>
    </w:p>
  </w:footnote>
  <w:footnote w:id="7">
    <w:p w:rsidR="007E48DE" w:rsidRPr="00E44F93" w:rsidRDefault="007E48DE">
      <w:pPr>
        <w:pStyle w:val="Textodenotaderodap"/>
        <w:rPr>
          <w:rFonts w:ascii="Times New Roman" w:hAnsi="Times New Roman" w:cs="Times New Roman"/>
        </w:rPr>
      </w:pPr>
      <w:r w:rsidRPr="00E44F93">
        <w:rPr>
          <w:rStyle w:val="Refdenotaderodap"/>
          <w:rFonts w:ascii="Times New Roman" w:hAnsi="Times New Roman" w:cs="Times New Roman"/>
        </w:rPr>
        <w:footnoteRef/>
      </w:r>
      <w:r w:rsidRPr="00E44F93">
        <w:rPr>
          <w:rFonts w:ascii="Times New Roman" w:hAnsi="Times New Roman" w:cs="Times New Roman"/>
        </w:rPr>
        <w:t xml:space="preserve"> </w:t>
      </w:r>
      <w:r w:rsidRPr="00E44F93">
        <w:rPr>
          <w:rFonts w:ascii="Times New Roman" w:hAnsi="Times New Roman" w:cs="Times New Roman"/>
          <w:i/>
        </w:rPr>
        <w:t xml:space="preserve">Idem, </w:t>
      </w:r>
      <w:r w:rsidRPr="00E44F93">
        <w:rPr>
          <w:rFonts w:ascii="Times New Roman" w:hAnsi="Times New Roman" w:cs="Times New Roman"/>
        </w:rPr>
        <w:t>p.255</w:t>
      </w:r>
    </w:p>
  </w:footnote>
  <w:footnote w:id="8">
    <w:p w:rsidR="007E48DE" w:rsidRPr="00254AC6" w:rsidRDefault="007E48DE">
      <w:pPr>
        <w:pStyle w:val="Textodenotaderodap"/>
        <w:rPr>
          <w:rFonts w:ascii="Times New Roman" w:hAnsi="Times New Roman" w:cs="Times New Roman"/>
        </w:rPr>
      </w:pPr>
      <w:r w:rsidRPr="00254AC6">
        <w:rPr>
          <w:rStyle w:val="Refdenotaderodap"/>
          <w:rFonts w:ascii="Times New Roman" w:hAnsi="Times New Roman" w:cs="Times New Roman"/>
        </w:rPr>
        <w:footnoteRef/>
      </w:r>
      <w:r w:rsidRPr="00254AC6">
        <w:rPr>
          <w:rFonts w:ascii="Times New Roman" w:hAnsi="Times New Roman" w:cs="Times New Roman"/>
        </w:rPr>
        <w:t xml:space="preserve"> </w:t>
      </w:r>
      <w:r w:rsidRPr="00254AC6">
        <w:rPr>
          <w:rFonts w:ascii="Times New Roman" w:hAnsi="Times New Roman" w:cs="Times New Roman"/>
          <w:i/>
        </w:rPr>
        <w:t xml:space="preserve">Idem, </w:t>
      </w:r>
      <w:r w:rsidRPr="00254AC6">
        <w:rPr>
          <w:rFonts w:ascii="Times New Roman" w:hAnsi="Times New Roman" w:cs="Times New Roman"/>
        </w:rPr>
        <w:t>p. 256.</w:t>
      </w:r>
    </w:p>
  </w:footnote>
  <w:footnote w:id="9">
    <w:p w:rsidR="007E48DE" w:rsidRPr="003523CA" w:rsidRDefault="007E48DE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Idem, </w:t>
      </w:r>
      <w:r>
        <w:rPr>
          <w:rFonts w:ascii="Times New Roman" w:hAnsi="Times New Roman" w:cs="Times New Roman"/>
        </w:rPr>
        <w:t>p. 261.</w:t>
      </w:r>
    </w:p>
  </w:footnote>
  <w:footnote w:id="10">
    <w:p w:rsidR="007E48DE" w:rsidRPr="00CA0448" w:rsidRDefault="007E48DE">
      <w:pPr>
        <w:pStyle w:val="Textodenotaderodap"/>
        <w:rPr>
          <w:rFonts w:ascii="Times New Roman" w:hAnsi="Times New Roman" w:cs="Times New Roman"/>
        </w:rPr>
      </w:pPr>
      <w:r w:rsidRPr="00CA0448">
        <w:rPr>
          <w:rStyle w:val="Refdenotaderodap"/>
          <w:rFonts w:ascii="Times New Roman" w:hAnsi="Times New Roman" w:cs="Times New Roman"/>
        </w:rPr>
        <w:footnoteRef/>
      </w:r>
      <w:r w:rsidRPr="00CA0448">
        <w:rPr>
          <w:rFonts w:ascii="Times New Roman" w:hAnsi="Times New Roman" w:cs="Times New Roman"/>
        </w:rPr>
        <w:t xml:space="preserve"> </w:t>
      </w:r>
      <w:r w:rsidRPr="00CA0448">
        <w:rPr>
          <w:rFonts w:ascii="Times New Roman" w:hAnsi="Times New Roman" w:cs="Times New Roman"/>
          <w:i/>
        </w:rPr>
        <w:t xml:space="preserve">Idem, </w:t>
      </w:r>
      <w:r w:rsidRPr="00CA0448">
        <w:rPr>
          <w:rFonts w:ascii="Times New Roman" w:hAnsi="Times New Roman" w:cs="Times New Roman"/>
        </w:rPr>
        <w:t>p. 263.</w:t>
      </w:r>
    </w:p>
  </w:footnote>
  <w:footnote w:id="11">
    <w:p w:rsidR="007E48DE" w:rsidRPr="00C916C0" w:rsidRDefault="007E48DE">
      <w:pPr>
        <w:pStyle w:val="Textodenotaderodap"/>
        <w:rPr>
          <w:rFonts w:ascii="Times New Roman" w:hAnsi="Times New Roman" w:cs="Times New Roman"/>
        </w:rPr>
      </w:pPr>
      <w:r w:rsidRPr="00C916C0">
        <w:rPr>
          <w:rStyle w:val="Refdenotaderodap"/>
          <w:rFonts w:ascii="Times New Roman" w:hAnsi="Times New Roman" w:cs="Times New Roman"/>
        </w:rPr>
        <w:footnoteRef/>
      </w:r>
      <w:r w:rsidRPr="00C916C0">
        <w:rPr>
          <w:rFonts w:ascii="Times New Roman" w:hAnsi="Times New Roman" w:cs="Times New Roman"/>
        </w:rPr>
        <w:t xml:space="preserve"> </w:t>
      </w:r>
      <w:r w:rsidRPr="00C916C0">
        <w:rPr>
          <w:rFonts w:ascii="Times New Roman" w:hAnsi="Times New Roman" w:cs="Times New Roman"/>
          <w:i/>
        </w:rPr>
        <w:t xml:space="preserve">Idem, </w:t>
      </w:r>
      <w:r w:rsidRPr="00C916C0">
        <w:rPr>
          <w:rFonts w:ascii="Times New Roman" w:hAnsi="Times New Roman" w:cs="Times New Roman"/>
        </w:rPr>
        <w:t>p. 267.</w:t>
      </w:r>
    </w:p>
  </w:footnote>
  <w:footnote w:id="12">
    <w:p w:rsidR="007E48DE" w:rsidRPr="00703294" w:rsidRDefault="007E48DE">
      <w:pPr>
        <w:pStyle w:val="Textodenotaderodap"/>
        <w:rPr>
          <w:rFonts w:ascii="Times New Roman" w:hAnsi="Times New Roman" w:cs="Times New Roman"/>
        </w:rPr>
      </w:pPr>
      <w:r w:rsidRPr="00703294">
        <w:rPr>
          <w:rStyle w:val="Refdenotaderodap"/>
          <w:rFonts w:ascii="Times New Roman" w:hAnsi="Times New Roman" w:cs="Times New Roman"/>
        </w:rPr>
        <w:footnoteRef/>
      </w:r>
      <w:r w:rsidRPr="00703294">
        <w:rPr>
          <w:rFonts w:ascii="Times New Roman" w:hAnsi="Times New Roman" w:cs="Times New Roman"/>
        </w:rPr>
        <w:t xml:space="preserve"> </w:t>
      </w:r>
      <w:r w:rsidRPr="00703294">
        <w:rPr>
          <w:rFonts w:ascii="Times New Roman" w:hAnsi="Times New Roman" w:cs="Times New Roman"/>
          <w:i/>
        </w:rPr>
        <w:t xml:space="preserve">Idem, </w:t>
      </w:r>
      <w:r w:rsidRPr="00703294">
        <w:rPr>
          <w:rFonts w:ascii="Times New Roman" w:hAnsi="Times New Roman" w:cs="Times New Roman"/>
        </w:rPr>
        <w:t>p. 268.</w:t>
      </w:r>
    </w:p>
  </w:footnote>
  <w:footnote w:id="13">
    <w:p w:rsidR="005A0291" w:rsidRPr="00871120" w:rsidRDefault="005A0291">
      <w:pPr>
        <w:pStyle w:val="Textodenotaderodap"/>
        <w:rPr>
          <w:rFonts w:ascii="Times New Roman" w:hAnsi="Times New Roman" w:cs="Times New Roman"/>
        </w:rPr>
      </w:pPr>
      <w:r w:rsidRPr="00871120">
        <w:rPr>
          <w:rStyle w:val="Refdenotaderodap"/>
          <w:rFonts w:ascii="Times New Roman" w:hAnsi="Times New Roman" w:cs="Times New Roman"/>
        </w:rPr>
        <w:footnoteRef/>
      </w:r>
      <w:r w:rsidRPr="00871120">
        <w:rPr>
          <w:rFonts w:ascii="Times New Roman" w:hAnsi="Times New Roman" w:cs="Times New Roman"/>
        </w:rPr>
        <w:t xml:space="preserve"> </w:t>
      </w:r>
      <w:r w:rsidR="00871120" w:rsidRPr="00871120">
        <w:rPr>
          <w:rFonts w:ascii="Times New Roman" w:hAnsi="Times New Roman" w:cs="Times New Roman"/>
          <w:i/>
        </w:rPr>
        <w:t xml:space="preserve">Idem, </w:t>
      </w:r>
      <w:r w:rsidR="00871120" w:rsidRPr="00871120">
        <w:rPr>
          <w:rFonts w:ascii="Times New Roman" w:hAnsi="Times New Roman" w:cs="Times New Roman"/>
        </w:rPr>
        <w:t>p. 285.</w:t>
      </w:r>
    </w:p>
  </w:footnote>
  <w:footnote w:id="14">
    <w:p w:rsidR="00871120" w:rsidRPr="003212F3" w:rsidRDefault="00871120">
      <w:pPr>
        <w:pStyle w:val="Textodenotaderodap"/>
        <w:rPr>
          <w:rFonts w:ascii="Times New Roman" w:hAnsi="Times New Roman" w:cs="Times New Roman"/>
        </w:rPr>
      </w:pPr>
      <w:r w:rsidRPr="003212F3">
        <w:rPr>
          <w:rStyle w:val="Refdenotaderodap"/>
          <w:rFonts w:ascii="Times New Roman" w:hAnsi="Times New Roman" w:cs="Times New Roman"/>
        </w:rPr>
        <w:footnoteRef/>
      </w:r>
      <w:r w:rsidRPr="003212F3">
        <w:rPr>
          <w:rFonts w:ascii="Times New Roman" w:hAnsi="Times New Roman" w:cs="Times New Roman"/>
          <w:i/>
        </w:rPr>
        <w:t xml:space="preserve"> Idem</w:t>
      </w:r>
      <w:r w:rsidRPr="003212F3">
        <w:rPr>
          <w:rFonts w:ascii="Times New Roman" w:hAnsi="Times New Roman" w:cs="Times New Roman"/>
        </w:rPr>
        <w:t>, p. 286.</w:t>
      </w:r>
    </w:p>
  </w:footnote>
  <w:footnote w:id="15">
    <w:p w:rsidR="003212F3" w:rsidRPr="003212F3" w:rsidRDefault="003212F3">
      <w:pPr>
        <w:pStyle w:val="Textodenotaderodap"/>
      </w:pPr>
      <w:r w:rsidRPr="003212F3">
        <w:rPr>
          <w:rStyle w:val="Refdenotaderodap"/>
          <w:rFonts w:ascii="Times New Roman" w:hAnsi="Times New Roman" w:cs="Times New Roman"/>
        </w:rPr>
        <w:footnoteRef/>
      </w:r>
      <w:r w:rsidRPr="003212F3">
        <w:rPr>
          <w:rFonts w:ascii="Times New Roman" w:hAnsi="Times New Roman" w:cs="Times New Roman"/>
        </w:rPr>
        <w:t xml:space="preserve"> </w:t>
      </w:r>
      <w:r w:rsidRPr="003212F3">
        <w:rPr>
          <w:rFonts w:ascii="Times New Roman" w:hAnsi="Times New Roman" w:cs="Times New Roman"/>
          <w:i/>
        </w:rPr>
        <w:t xml:space="preserve">Idem, </w:t>
      </w:r>
      <w:r w:rsidRPr="003212F3">
        <w:rPr>
          <w:rFonts w:ascii="Times New Roman" w:hAnsi="Times New Roman" w:cs="Times New Roman"/>
        </w:rPr>
        <w:t>p. 286.</w:t>
      </w:r>
    </w:p>
  </w:footnote>
  <w:footnote w:id="16">
    <w:p w:rsidR="008F6BBF" w:rsidRPr="008F6BBF" w:rsidRDefault="008F6BBF">
      <w:pPr>
        <w:pStyle w:val="Textodenotaderodap"/>
        <w:rPr>
          <w:rFonts w:ascii="Times New Roman" w:hAnsi="Times New Roman" w:cs="Times New Roman"/>
        </w:rPr>
      </w:pPr>
      <w:r w:rsidRPr="008F6BBF">
        <w:rPr>
          <w:rStyle w:val="Refdenotaderodap"/>
          <w:rFonts w:ascii="Times New Roman" w:hAnsi="Times New Roman" w:cs="Times New Roman"/>
        </w:rPr>
        <w:footnoteRef/>
      </w:r>
      <w:r w:rsidRPr="008F6BBF">
        <w:rPr>
          <w:rFonts w:ascii="Times New Roman" w:hAnsi="Times New Roman" w:cs="Times New Roman"/>
        </w:rPr>
        <w:t xml:space="preserve"> </w:t>
      </w:r>
      <w:r w:rsidRPr="008F6BBF">
        <w:rPr>
          <w:rFonts w:ascii="Times New Roman" w:hAnsi="Times New Roman" w:cs="Times New Roman"/>
          <w:i/>
        </w:rPr>
        <w:t xml:space="preserve">Idem, </w:t>
      </w:r>
      <w:r w:rsidRPr="008F6BBF">
        <w:rPr>
          <w:rFonts w:ascii="Times New Roman" w:hAnsi="Times New Roman" w:cs="Times New Roman"/>
        </w:rPr>
        <w:t>pp. 287-8.</w:t>
      </w:r>
    </w:p>
  </w:footnote>
  <w:footnote w:id="17">
    <w:p w:rsidR="008F6BBF" w:rsidRPr="008F6BBF" w:rsidRDefault="008F6BBF">
      <w:pPr>
        <w:pStyle w:val="Textodenotaderodap"/>
      </w:pPr>
      <w:r w:rsidRPr="008F6BBF">
        <w:rPr>
          <w:rStyle w:val="Refdenotaderodap"/>
          <w:rFonts w:ascii="Times New Roman" w:hAnsi="Times New Roman" w:cs="Times New Roman"/>
        </w:rPr>
        <w:footnoteRef/>
      </w:r>
      <w:r w:rsidRPr="008F6BBF">
        <w:rPr>
          <w:rFonts w:ascii="Times New Roman" w:hAnsi="Times New Roman" w:cs="Times New Roman"/>
        </w:rPr>
        <w:t xml:space="preserve"> </w:t>
      </w:r>
      <w:r w:rsidRPr="008F6BBF">
        <w:rPr>
          <w:rFonts w:ascii="Times New Roman" w:hAnsi="Times New Roman" w:cs="Times New Roman"/>
          <w:i/>
        </w:rPr>
        <w:t xml:space="preserve">Idem, </w:t>
      </w:r>
      <w:r w:rsidRPr="008F6BBF">
        <w:rPr>
          <w:rFonts w:ascii="Times New Roman" w:hAnsi="Times New Roman" w:cs="Times New Roman"/>
        </w:rPr>
        <w:t>p. 288.</w:t>
      </w:r>
    </w:p>
  </w:footnote>
  <w:footnote w:id="18">
    <w:p w:rsidR="006905C0" w:rsidRPr="006905C0" w:rsidRDefault="006905C0">
      <w:pPr>
        <w:pStyle w:val="Textodenotaderodap"/>
        <w:rPr>
          <w:rFonts w:ascii="Times New Roman" w:hAnsi="Times New Roman" w:cs="Times New Roman"/>
        </w:rPr>
      </w:pPr>
      <w:r w:rsidRPr="006905C0">
        <w:rPr>
          <w:rStyle w:val="Refdenotaderodap"/>
          <w:rFonts w:ascii="Times New Roman" w:hAnsi="Times New Roman" w:cs="Times New Roman"/>
        </w:rPr>
        <w:footnoteRef/>
      </w:r>
      <w:r w:rsidRPr="006905C0">
        <w:rPr>
          <w:rFonts w:ascii="Times New Roman" w:hAnsi="Times New Roman" w:cs="Times New Roman"/>
        </w:rPr>
        <w:t xml:space="preserve"> </w:t>
      </w:r>
      <w:r w:rsidRPr="006905C0">
        <w:rPr>
          <w:rFonts w:ascii="Times New Roman" w:hAnsi="Times New Roman" w:cs="Times New Roman"/>
          <w:i/>
        </w:rPr>
        <w:t xml:space="preserve">Idem, </w:t>
      </w:r>
      <w:r w:rsidRPr="006905C0">
        <w:rPr>
          <w:rFonts w:ascii="Times New Roman" w:hAnsi="Times New Roman" w:cs="Times New Roman"/>
        </w:rPr>
        <w:t>p.289.</w:t>
      </w:r>
    </w:p>
  </w:footnote>
  <w:footnote w:id="19">
    <w:p w:rsidR="001E469C" w:rsidRPr="001E469C" w:rsidRDefault="001E469C">
      <w:pPr>
        <w:pStyle w:val="Textodenotaderodap"/>
        <w:rPr>
          <w:rFonts w:ascii="Times New Roman" w:hAnsi="Times New Roman" w:cs="Times New Roman"/>
        </w:rPr>
      </w:pPr>
      <w:r w:rsidRPr="001E469C">
        <w:rPr>
          <w:rStyle w:val="Refdenotaderodap"/>
          <w:rFonts w:ascii="Times New Roman" w:hAnsi="Times New Roman" w:cs="Times New Roman"/>
        </w:rPr>
        <w:footnoteRef/>
      </w:r>
      <w:r w:rsidRPr="001E469C">
        <w:rPr>
          <w:rFonts w:ascii="Times New Roman" w:hAnsi="Times New Roman" w:cs="Times New Roman"/>
        </w:rPr>
        <w:t xml:space="preserve"> </w:t>
      </w:r>
      <w:r w:rsidRPr="001E469C">
        <w:rPr>
          <w:rFonts w:ascii="Times New Roman" w:hAnsi="Times New Roman" w:cs="Times New Roman"/>
          <w:i/>
        </w:rPr>
        <w:t xml:space="preserve">Idem, </w:t>
      </w:r>
      <w:r w:rsidRPr="001E469C">
        <w:rPr>
          <w:rFonts w:ascii="Times New Roman" w:hAnsi="Times New Roman" w:cs="Times New Roman"/>
        </w:rPr>
        <w:t>p. 291.</w:t>
      </w:r>
    </w:p>
  </w:footnote>
  <w:footnote w:id="20">
    <w:p w:rsidR="0018568C" w:rsidRPr="0018568C" w:rsidRDefault="0018568C">
      <w:pPr>
        <w:pStyle w:val="Textodenotaderodap"/>
        <w:rPr>
          <w:rFonts w:ascii="Times New Roman" w:hAnsi="Times New Roman" w:cs="Times New Roman"/>
        </w:rPr>
      </w:pPr>
      <w:r w:rsidRPr="0018568C">
        <w:rPr>
          <w:rStyle w:val="Refdenotaderodap"/>
          <w:rFonts w:ascii="Times New Roman" w:hAnsi="Times New Roman" w:cs="Times New Roman"/>
        </w:rPr>
        <w:footnoteRef/>
      </w:r>
      <w:r w:rsidRPr="0018568C">
        <w:rPr>
          <w:rFonts w:ascii="Times New Roman" w:hAnsi="Times New Roman" w:cs="Times New Roman"/>
        </w:rPr>
        <w:t xml:space="preserve"> </w:t>
      </w:r>
      <w:r w:rsidRPr="0018568C">
        <w:rPr>
          <w:rFonts w:ascii="Times New Roman" w:hAnsi="Times New Roman" w:cs="Times New Roman"/>
          <w:i/>
        </w:rPr>
        <w:t xml:space="preserve">Idem, </w:t>
      </w:r>
      <w:r w:rsidRPr="0018568C">
        <w:rPr>
          <w:rFonts w:ascii="Times New Roman" w:hAnsi="Times New Roman" w:cs="Times New Roman"/>
        </w:rPr>
        <w:t>p. 292.</w:t>
      </w:r>
    </w:p>
  </w:footnote>
  <w:footnote w:id="21">
    <w:p w:rsidR="00B11844" w:rsidRPr="00B11844" w:rsidRDefault="00B11844">
      <w:pPr>
        <w:pStyle w:val="Textodenotaderodap"/>
        <w:rPr>
          <w:rFonts w:ascii="Times New Roman" w:hAnsi="Times New Roman" w:cs="Times New Roman"/>
        </w:rPr>
      </w:pPr>
      <w:r w:rsidRPr="00B11844">
        <w:rPr>
          <w:rStyle w:val="Refdenotaderodap"/>
          <w:rFonts w:ascii="Times New Roman" w:hAnsi="Times New Roman" w:cs="Times New Roman"/>
        </w:rPr>
        <w:footnoteRef/>
      </w:r>
      <w:r w:rsidRPr="00B11844">
        <w:rPr>
          <w:rFonts w:ascii="Times New Roman" w:hAnsi="Times New Roman" w:cs="Times New Roman"/>
        </w:rPr>
        <w:t xml:space="preserve"> </w:t>
      </w:r>
      <w:r w:rsidRPr="00B11844">
        <w:rPr>
          <w:rFonts w:ascii="Times New Roman" w:hAnsi="Times New Roman" w:cs="Times New Roman"/>
          <w:i/>
        </w:rPr>
        <w:t xml:space="preserve">Idem, </w:t>
      </w:r>
      <w:r w:rsidRPr="00B11844">
        <w:rPr>
          <w:rFonts w:ascii="Times New Roman" w:hAnsi="Times New Roman" w:cs="Times New Roman"/>
        </w:rPr>
        <w:t>p. 296.</w:t>
      </w:r>
    </w:p>
  </w:footnote>
  <w:footnote w:id="22">
    <w:p w:rsidR="009F6A25" w:rsidRPr="009F6A25" w:rsidRDefault="009F6A25">
      <w:pPr>
        <w:pStyle w:val="Textodenotaderodap"/>
        <w:rPr>
          <w:rFonts w:ascii="Times New Roman" w:hAnsi="Times New Roman" w:cs="Times New Roman"/>
        </w:rPr>
      </w:pPr>
      <w:r w:rsidRPr="009F6A25">
        <w:rPr>
          <w:rStyle w:val="Refdenotaderodap"/>
          <w:rFonts w:ascii="Times New Roman" w:hAnsi="Times New Roman" w:cs="Times New Roman"/>
        </w:rPr>
        <w:footnoteRef/>
      </w:r>
      <w:r w:rsidRPr="009F6A25">
        <w:rPr>
          <w:rFonts w:ascii="Times New Roman" w:hAnsi="Times New Roman" w:cs="Times New Roman"/>
        </w:rPr>
        <w:t xml:space="preserve"> </w:t>
      </w:r>
      <w:r w:rsidRPr="009F6A25">
        <w:rPr>
          <w:rFonts w:ascii="Times New Roman" w:hAnsi="Times New Roman" w:cs="Times New Roman"/>
          <w:i/>
        </w:rPr>
        <w:t xml:space="preserve">Idem, </w:t>
      </w:r>
      <w:r w:rsidRPr="009F6A25">
        <w:rPr>
          <w:rFonts w:ascii="Times New Roman" w:hAnsi="Times New Roman" w:cs="Times New Roman"/>
        </w:rPr>
        <w:t>p. 300.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D19"/>
    <w:multiLevelType w:val="multilevel"/>
    <w:tmpl w:val="A3686E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779514D"/>
    <w:multiLevelType w:val="hybridMultilevel"/>
    <w:tmpl w:val="86EA5F3A"/>
    <w:lvl w:ilvl="0" w:tplc="6BCCCE7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3DB"/>
    <w:rsid w:val="000204DA"/>
    <w:rsid w:val="00093383"/>
    <w:rsid w:val="000F0B8D"/>
    <w:rsid w:val="000F3CF8"/>
    <w:rsid w:val="00136AFF"/>
    <w:rsid w:val="001402FC"/>
    <w:rsid w:val="0018568C"/>
    <w:rsid w:val="001C36C1"/>
    <w:rsid w:val="001E469C"/>
    <w:rsid w:val="0021728E"/>
    <w:rsid w:val="00247AB0"/>
    <w:rsid w:val="00254AC6"/>
    <w:rsid w:val="002D62F1"/>
    <w:rsid w:val="002E4F40"/>
    <w:rsid w:val="00305956"/>
    <w:rsid w:val="003212F3"/>
    <w:rsid w:val="003269A2"/>
    <w:rsid w:val="0033533A"/>
    <w:rsid w:val="003523CA"/>
    <w:rsid w:val="003922CF"/>
    <w:rsid w:val="003B358A"/>
    <w:rsid w:val="003E60B8"/>
    <w:rsid w:val="0041325C"/>
    <w:rsid w:val="004669AF"/>
    <w:rsid w:val="00490353"/>
    <w:rsid w:val="004C16BD"/>
    <w:rsid w:val="00544DAC"/>
    <w:rsid w:val="0057505F"/>
    <w:rsid w:val="005A0291"/>
    <w:rsid w:val="005B77DB"/>
    <w:rsid w:val="006002B8"/>
    <w:rsid w:val="006905C0"/>
    <w:rsid w:val="006C735D"/>
    <w:rsid w:val="006F0089"/>
    <w:rsid w:val="006F5C5F"/>
    <w:rsid w:val="00703294"/>
    <w:rsid w:val="007267CB"/>
    <w:rsid w:val="007344C1"/>
    <w:rsid w:val="00746103"/>
    <w:rsid w:val="00753674"/>
    <w:rsid w:val="007A23DB"/>
    <w:rsid w:val="007B07AC"/>
    <w:rsid w:val="007D2DED"/>
    <w:rsid w:val="007E0BFF"/>
    <w:rsid w:val="007E48DE"/>
    <w:rsid w:val="00800341"/>
    <w:rsid w:val="00836DD4"/>
    <w:rsid w:val="00871120"/>
    <w:rsid w:val="008F6BBF"/>
    <w:rsid w:val="00907ED4"/>
    <w:rsid w:val="00945FFF"/>
    <w:rsid w:val="00972FF8"/>
    <w:rsid w:val="009828BA"/>
    <w:rsid w:val="009F6A25"/>
    <w:rsid w:val="00A70C80"/>
    <w:rsid w:val="00B11844"/>
    <w:rsid w:val="00BC5F21"/>
    <w:rsid w:val="00BE1680"/>
    <w:rsid w:val="00C329FA"/>
    <w:rsid w:val="00C71268"/>
    <w:rsid w:val="00C916C0"/>
    <w:rsid w:val="00CA0448"/>
    <w:rsid w:val="00CC1F75"/>
    <w:rsid w:val="00CE049E"/>
    <w:rsid w:val="00CE1D96"/>
    <w:rsid w:val="00D07E10"/>
    <w:rsid w:val="00D23FAC"/>
    <w:rsid w:val="00D4414A"/>
    <w:rsid w:val="00DA5275"/>
    <w:rsid w:val="00DA529F"/>
    <w:rsid w:val="00DA73EE"/>
    <w:rsid w:val="00DE2992"/>
    <w:rsid w:val="00E01418"/>
    <w:rsid w:val="00E123E4"/>
    <w:rsid w:val="00E428F2"/>
    <w:rsid w:val="00E44F93"/>
    <w:rsid w:val="00E501C0"/>
    <w:rsid w:val="00E926A3"/>
    <w:rsid w:val="00EA6826"/>
    <w:rsid w:val="00F51C10"/>
    <w:rsid w:val="00F736A0"/>
    <w:rsid w:val="00F81C88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2F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26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26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26A3"/>
    <w:rPr>
      <w:vertAlign w:val="superscript"/>
    </w:rPr>
  </w:style>
  <w:style w:type="paragraph" w:customStyle="1" w:styleId="artigo">
    <w:name w:val="artigo"/>
    <w:basedOn w:val="Normal"/>
    <w:rsid w:val="006F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5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97A7-0836-47A1-B515-D05B941D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3526</Words>
  <Characters>19042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RIBEIRO VASCONCELOS MERLO</dc:creator>
  <cp:lastModifiedBy>ju65</cp:lastModifiedBy>
  <cp:revision>2</cp:revision>
  <dcterms:created xsi:type="dcterms:W3CDTF">2016-07-06T21:32:00Z</dcterms:created>
  <dcterms:modified xsi:type="dcterms:W3CDTF">2016-07-06T21:32:00Z</dcterms:modified>
</cp:coreProperties>
</file>